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E0" w:rsidRDefault="002A7D3E" w:rsidP="003F37E0">
      <w:pPr>
        <w:jc w:val="center"/>
        <w:rPr>
          <w:rFonts w:ascii="Tahoma" w:hAnsi="Tahoma" w:cs="Tahoma"/>
          <w:b/>
          <w:sz w:val="24"/>
          <w:szCs w:val="24"/>
        </w:rPr>
      </w:pPr>
      <w:bookmarkStart w:id="0" w:name="_GoBack"/>
      <w:bookmarkEnd w:id="0"/>
      <w:r w:rsidRPr="002A7D3E">
        <w:rPr>
          <w:rFonts w:ascii="Tahoma" w:hAnsi="Tahoma" w:cs="Tahoma"/>
          <w:b/>
          <w:sz w:val="24"/>
          <w:szCs w:val="24"/>
        </w:rPr>
        <w:t>NEW WINE IN OLD WINESKINS –</w:t>
      </w:r>
      <w:r w:rsidR="004E1601">
        <w:rPr>
          <w:rFonts w:ascii="Tahoma" w:hAnsi="Tahoma" w:cs="Tahoma"/>
          <w:b/>
          <w:sz w:val="24"/>
          <w:szCs w:val="24"/>
        </w:rPr>
        <w:t xml:space="preserve"> SOME </w:t>
      </w:r>
      <w:r w:rsidRPr="002A7D3E">
        <w:rPr>
          <w:rFonts w:ascii="Tahoma" w:hAnsi="Tahoma" w:cs="Tahoma"/>
          <w:b/>
          <w:sz w:val="24"/>
          <w:szCs w:val="24"/>
        </w:rPr>
        <w:t xml:space="preserve">DEVELOPMENTS IN </w:t>
      </w:r>
    </w:p>
    <w:p w:rsidR="00274910" w:rsidRDefault="002A7D3E" w:rsidP="003F37E0">
      <w:pPr>
        <w:jc w:val="center"/>
        <w:rPr>
          <w:rFonts w:ascii="Tahoma" w:hAnsi="Tahoma" w:cs="Tahoma"/>
          <w:b/>
          <w:sz w:val="24"/>
          <w:szCs w:val="24"/>
        </w:rPr>
      </w:pPr>
      <w:r w:rsidRPr="002A7D3E">
        <w:rPr>
          <w:rFonts w:ascii="Tahoma" w:hAnsi="Tahoma" w:cs="Tahoma"/>
          <w:b/>
          <w:sz w:val="24"/>
          <w:szCs w:val="24"/>
        </w:rPr>
        <w:t xml:space="preserve">THE </w:t>
      </w:r>
      <w:r w:rsidR="003F37E0">
        <w:rPr>
          <w:rFonts w:ascii="Tahoma" w:hAnsi="Tahoma" w:cs="Tahoma"/>
          <w:b/>
          <w:sz w:val="24"/>
          <w:szCs w:val="24"/>
        </w:rPr>
        <w:t xml:space="preserve">COMMON </w:t>
      </w:r>
      <w:r w:rsidRPr="002A7D3E">
        <w:rPr>
          <w:rFonts w:ascii="Tahoma" w:hAnsi="Tahoma" w:cs="Tahoma"/>
          <w:b/>
          <w:sz w:val="24"/>
          <w:szCs w:val="24"/>
        </w:rPr>
        <w:t>LAW OF EVIDENCE</w:t>
      </w:r>
    </w:p>
    <w:p w:rsidR="002A7D3E" w:rsidRDefault="002A7D3E" w:rsidP="003F37E0">
      <w:pPr>
        <w:jc w:val="center"/>
        <w:rPr>
          <w:rFonts w:ascii="Tahoma" w:hAnsi="Tahoma" w:cs="Tahoma"/>
          <w:b/>
          <w:sz w:val="24"/>
          <w:szCs w:val="24"/>
        </w:rPr>
      </w:pPr>
    </w:p>
    <w:p w:rsidR="003F37E0" w:rsidRDefault="003F37E0">
      <w:pPr>
        <w:rPr>
          <w:rFonts w:ascii="Tahoma" w:hAnsi="Tahoma" w:cs="Tahoma"/>
          <w:b/>
          <w:sz w:val="24"/>
          <w:szCs w:val="24"/>
        </w:rPr>
      </w:pPr>
    </w:p>
    <w:p w:rsidR="002A7D3E" w:rsidRDefault="002A7D3E">
      <w:pPr>
        <w:rPr>
          <w:rFonts w:ascii="Tahoma" w:hAnsi="Tahoma" w:cs="Tahoma"/>
          <w:sz w:val="24"/>
          <w:szCs w:val="24"/>
        </w:rPr>
      </w:pPr>
      <w:r w:rsidRPr="002A7D3E">
        <w:rPr>
          <w:rFonts w:ascii="Tahoma" w:hAnsi="Tahoma" w:cs="Tahoma"/>
          <w:b/>
          <w:sz w:val="24"/>
          <w:szCs w:val="24"/>
        </w:rPr>
        <w:t>Introduction</w:t>
      </w:r>
    </w:p>
    <w:p w:rsidR="003F37E0" w:rsidRDefault="003F37E0" w:rsidP="003F37E0">
      <w:pPr>
        <w:spacing w:after="0" w:line="240" w:lineRule="auto"/>
        <w:jc w:val="both"/>
        <w:rPr>
          <w:rFonts w:ascii="Tahoma" w:hAnsi="Tahoma" w:cs="Tahoma"/>
          <w:sz w:val="24"/>
          <w:szCs w:val="24"/>
        </w:rPr>
      </w:pPr>
    </w:p>
    <w:p w:rsidR="002A7D3E" w:rsidRPr="00CB573B" w:rsidRDefault="00C167A6" w:rsidP="00683A26">
      <w:pPr>
        <w:spacing w:line="480" w:lineRule="auto"/>
        <w:jc w:val="both"/>
        <w:rPr>
          <w:rFonts w:ascii="Tahoma" w:hAnsi="Tahoma" w:cs="Tahoma"/>
          <w:sz w:val="24"/>
          <w:szCs w:val="24"/>
        </w:rPr>
      </w:pPr>
      <w:r>
        <w:rPr>
          <w:rFonts w:ascii="Tahoma" w:hAnsi="Tahoma" w:cs="Tahoma"/>
          <w:sz w:val="24"/>
          <w:szCs w:val="24"/>
        </w:rPr>
        <w:t xml:space="preserve">1.   </w:t>
      </w:r>
      <w:r w:rsidR="002A7D3E" w:rsidRPr="00CB573B">
        <w:rPr>
          <w:rFonts w:ascii="Tahoma" w:hAnsi="Tahoma" w:cs="Tahoma"/>
          <w:sz w:val="24"/>
          <w:szCs w:val="24"/>
        </w:rPr>
        <w:t xml:space="preserve">Historically, the law of evidence has been judge-made law, a body of rules developed piecemeal over </w:t>
      </w:r>
      <w:r w:rsidR="007C1FD8">
        <w:rPr>
          <w:rFonts w:ascii="Tahoma" w:hAnsi="Tahoma" w:cs="Tahoma"/>
          <w:sz w:val="24"/>
          <w:szCs w:val="24"/>
        </w:rPr>
        <w:t>the</w:t>
      </w:r>
      <w:r w:rsidR="002A7D3E" w:rsidRPr="00CB573B">
        <w:rPr>
          <w:rFonts w:ascii="Tahoma" w:hAnsi="Tahoma" w:cs="Tahoma"/>
          <w:sz w:val="24"/>
          <w:szCs w:val="24"/>
        </w:rPr>
        <w:t xml:space="preserve"> years. According to Professor Tapper</w:t>
      </w:r>
      <w:r w:rsidR="002A7D3E" w:rsidRPr="007E42AB">
        <w:rPr>
          <w:rStyle w:val="FootnoteReference"/>
          <w:rFonts w:ascii="Tahoma" w:hAnsi="Tahoma" w:cs="Tahoma"/>
          <w:sz w:val="24"/>
          <w:szCs w:val="24"/>
        </w:rPr>
        <w:footnoteReference w:id="1"/>
      </w:r>
      <w:r w:rsidR="002A7D3E" w:rsidRPr="00CB573B">
        <w:rPr>
          <w:rFonts w:ascii="Tahoma" w:hAnsi="Tahoma" w:cs="Tahoma"/>
          <w:sz w:val="24"/>
          <w:szCs w:val="24"/>
        </w:rPr>
        <w:t xml:space="preserve">, the development of the modern rules of evidence “really begins with the decisions of the common law judges in the seventeenth and eighteenth centuries”. </w:t>
      </w:r>
    </w:p>
    <w:p w:rsidR="00CB573B" w:rsidRDefault="00CB573B" w:rsidP="00683A26">
      <w:pPr>
        <w:spacing w:line="480" w:lineRule="auto"/>
        <w:jc w:val="both"/>
        <w:rPr>
          <w:rFonts w:ascii="Tahoma" w:hAnsi="Tahoma" w:cs="Tahoma"/>
          <w:sz w:val="24"/>
          <w:szCs w:val="24"/>
        </w:rPr>
      </w:pPr>
      <w:r>
        <w:rPr>
          <w:rFonts w:ascii="Tahoma" w:hAnsi="Tahoma" w:cs="Tahoma"/>
          <w:sz w:val="24"/>
          <w:szCs w:val="24"/>
        </w:rPr>
        <w:t xml:space="preserve">2.   </w:t>
      </w:r>
      <w:r w:rsidR="007C1FD8">
        <w:rPr>
          <w:rFonts w:ascii="Tahoma" w:hAnsi="Tahoma" w:cs="Tahoma"/>
          <w:sz w:val="24"/>
          <w:szCs w:val="24"/>
        </w:rPr>
        <w:t>For many years, s</w:t>
      </w:r>
      <w:r w:rsidR="002A7D3E" w:rsidRPr="007E42AB">
        <w:rPr>
          <w:rFonts w:ascii="Tahoma" w:hAnsi="Tahoma" w:cs="Tahoma"/>
          <w:sz w:val="24"/>
          <w:szCs w:val="24"/>
        </w:rPr>
        <w:t>tatutory reforms have been engrafted onto the common law structure of the rules, producing what one commentator described well over 50 years ago, with some asperity, as “a pile of builders’ debris”</w:t>
      </w:r>
      <w:r w:rsidR="002A7D3E" w:rsidRPr="007E42AB">
        <w:rPr>
          <w:rStyle w:val="FootnoteReference"/>
          <w:rFonts w:ascii="Tahoma" w:hAnsi="Tahoma" w:cs="Tahoma"/>
          <w:sz w:val="24"/>
          <w:szCs w:val="24"/>
        </w:rPr>
        <w:footnoteReference w:id="2"/>
      </w:r>
      <w:r w:rsidR="002A7D3E" w:rsidRPr="007E42AB">
        <w:rPr>
          <w:rFonts w:ascii="Tahoma" w:hAnsi="Tahoma" w:cs="Tahoma"/>
          <w:sz w:val="24"/>
          <w:szCs w:val="24"/>
        </w:rPr>
        <w:t xml:space="preserve">. </w:t>
      </w:r>
      <w:r w:rsidR="00EE2C14">
        <w:rPr>
          <w:rFonts w:ascii="Tahoma" w:hAnsi="Tahoma" w:cs="Tahoma"/>
          <w:sz w:val="24"/>
          <w:szCs w:val="24"/>
        </w:rPr>
        <w:t>Despite successful efforts to codify the law of evidence in other parts of the Commonwealth</w:t>
      </w:r>
      <w:r w:rsidR="00EE2C14">
        <w:rPr>
          <w:rStyle w:val="FootnoteReference"/>
          <w:rFonts w:ascii="Tahoma" w:hAnsi="Tahoma" w:cs="Tahoma"/>
          <w:sz w:val="24"/>
          <w:szCs w:val="24"/>
        </w:rPr>
        <w:footnoteReference w:id="3"/>
      </w:r>
      <w:r w:rsidR="00EE2C14">
        <w:rPr>
          <w:rFonts w:ascii="Tahoma" w:hAnsi="Tahoma" w:cs="Tahoma"/>
          <w:sz w:val="24"/>
          <w:szCs w:val="24"/>
        </w:rPr>
        <w:t xml:space="preserve">, resistance to the production of a comprehensive set of statutory rules has persisted in the United Kingdom and, </w:t>
      </w:r>
      <w:r w:rsidR="003D2699">
        <w:rPr>
          <w:rFonts w:ascii="Tahoma" w:hAnsi="Tahoma" w:cs="Tahoma"/>
          <w:sz w:val="24"/>
          <w:szCs w:val="24"/>
        </w:rPr>
        <w:t>to a large extent</w:t>
      </w:r>
      <w:r w:rsidR="00EE2C14">
        <w:rPr>
          <w:rFonts w:ascii="Tahoma" w:hAnsi="Tahoma" w:cs="Tahoma"/>
          <w:sz w:val="24"/>
          <w:szCs w:val="24"/>
        </w:rPr>
        <w:t>, in the Commonwealth Caribbean</w:t>
      </w:r>
      <w:r w:rsidR="003D2699">
        <w:rPr>
          <w:rFonts w:ascii="Tahoma" w:hAnsi="Tahoma" w:cs="Tahoma"/>
          <w:sz w:val="24"/>
          <w:szCs w:val="24"/>
        </w:rPr>
        <w:t xml:space="preserve">. </w:t>
      </w:r>
      <w:r>
        <w:rPr>
          <w:rFonts w:ascii="Tahoma" w:hAnsi="Tahoma" w:cs="Tahoma"/>
          <w:sz w:val="24"/>
          <w:szCs w:val="24"/>
        </w:rPr>
        <w:t>Even in jurisdictions such as</w:t>
      </w:r>
      <w:r w:rsidR="00E648DB">
        <w:rPr>
          <w:rFonts w:ascii="Tahoma" w:hAnsi="Tahoma" w:cs="Tahoma"/>
          <w:sz w:val="24"/>
          <w:szCs w:val="24"/>
        </w:rPr>
        <w:t xml:space="preserve"> Antigua </w:t>
      </w:r>
      <w:r w:rsidR="008D3115">
        <w:rPr>
          <w:rFonts w:ascii="Tahoma" w:hAnsi="Tahoma" w:cs="Tahoma"/>
          <w:sz w:val="24"/>
          <w:szCs w:val="24"/>
        </w:rPr>
        <w:t>and</w:t>
      </w:r>
      <w:r w:rsidR="00E648DB">
        <w:rPr>
          <w:rFonts w:ascii="Tahoma" w:hAnsi="Tahoma" w:cs="Tahoma"/>
          <w:sz w:val="24"/>
          <w:szCs w:val="24"/>
        </w:rPr>
        <w:t xml:space="preserve"> Barbuda,</w:t>
      </w:r>
      <w:r>
        <w:rPr>
          <w:rFonts w:ascii="Tahoma" w:hAnsi="Tahoma" w:cs="Tahoma"/>
          <w:sz w:val="24"/>
          <w:szCs w:val="24"/>
        </w:rPr>
        <w:t xml:space="preserve"> The</w:t>
      </w:r>
      <w:r w:rsidR="003D2699">
        <w:rPr>
          <w:rFonts w:ascii="Tahoma" w:hAnsi="Tahoma" w:cs="Tahoma"/>
          <w:sz w:val="24"/>
          <w:szCs w:val="24"/>
        </w:rPr>
        <w:t xml:space="preserve"> Bahamas</w:t>
      </w:r>
      <w:r>
        <w:rPr>
          <w:rFonts w:ascii="Tahoma" w:hAnsi="Tahoma" w:cs="Tahoma"/>
          <w:sz w:val="24"/>
          <w:szCs w:val="24"/>
        </w:rPr>
        <w:t>, Barbados</w:t>
      </w:r>
      <w:r w:rsidR="00D36E8F">
        <w:rPr>
          <w:rFonts w:ascii="Tahoma" w:hAnsi="Tahoma" w:cs="Tahoma"/>
          <w:sz w:val="24"/>
          <w:szCs w:val="24"/>
        </w:rPr>
        <w:t xml:space="preserve"> and</w:t>
      </w:r>
      <w:r>
        <w:rPr>
          <w:rFonts w:ascii="Tahoma" w:hAnsi="Tahoma" w:cs="Tahoma"/>
          <w:sz w:val="24"/>
          <w:szCs w:val="24"/>
        </w:rPr>
        <w:t xml:space="preserve"> St Kitts </w:t>
      </w:r>
      <w:r w:rsidR="008D3115">
        <w:rPr>
          <w:rFonts w:ascii="Tahoma" w:hAnsi="Tahoma" w:cs="Tahoma"/>
          <w:sz w:val="24"/>
          <w:szCs w:val="24"/>
        </w:rPr>
        <w:t>and</w:t>
      </w:r>
      <w:r>
        <w:rPr>
          <w:rFonts w:ascii="Tahoma" w:hAnsi="Tahoma" w:cs="Tahoma"/>
          <w:sz w:val="24"/>
          <w:szCs w:val="24"/>
        </w:rPr>
        <w:t xml:space="preserve"> Nevis, where </w:t>
      </w:r>
      <w:r w:rsidR="0074564F">
        <w:rPr>
          <w:rFonts w:ascii="Tahoma" w:hAnsi="Tahoma" w:cs="Tahoma"/>
          <w:sz w:val="24"/>
          <w:szCs w:val="24"/>
        </w:rPr>
        <w:t xml:space="preserve">there have been </w:t>
      </w:r>
      <w:r w:rsidR="00E648DB">
        <w:rPr>
          <w:rFonts w:ascii="Tahoma" w:hAnsi="Tahoma" w:cs="Tahoma"/>
          <w:sz w:val="24"/>
          <w:szCs w:val="24"/>
        </w:rPr>
        <w:t>significant</w:t>
      </w:r>
      <w:r>
        <w:rPr>
          <w:rFonts w:ascii="Tahoma" w:hAnsi="Tahoma" w:cs="Tahoma"/>
          <w:sz w:val="24"/>
          <w:szCs w:val="24"/>
        </w:rPr>
        <w:t xml:space="preserve"> reform</w:t>
      </w:r>
      <w:r w:rsidR="0074564F">
        <w:rPr>
          <w:rFonts w:ascii="Tahoma" w:hAnsi="Tahoma" w:cs="Tahoma"/>
          <w:sz w:val="24"/>
          <w:szCs w:val="24"/>
        </w:rPr>
        <w:t>s of</w:t>
      </w:r>
      <w:r>
        <w:rPr>
          <w:rFonts w:ascii="Tahoma" w:hAnsi="Tahoma" w:cs="Tahoma"/>
          <w:sz w:val="24"/>
          <w:szCs w:val="24"/>
        </w:rPr>
        <w:t xml:space="preserve"> the law of evidence within the last 20 years, there is no provision which gives a true codifying statute the hallmark of exclusivity </w:t>
      </w:r>
      <w:r>
        <w:rPr>
          <w:rFonts w:ascii="Tahoma" w:hAnsi="Tahoma" w:cs="Tahoma"/>
          <w:sz w:val="24"/>
          <w:szCs w:val="24"/>
        </w:rPr>
        <w:lastRenderedPageBreak/>
        <w:t>identified by Simmons CJ</w:t>
      </w:r>
      <w:r w:rsidR="00CF6D39">
        <w:rPr>
          <w:rFonts w:ascii="Tahoma" w:hAnsi="Tahoma" w:cs="Tahoma"/>
          <w:sz w:val="24"/>
          <w:szCs w:val="24"/>
        </w:rPr>
        <w:t xml:space="preserve"> (in reference to the Barbados Evidence Act 1994)</w:t>
      </w:r>
      <w:r>
        <w:rPr>
          <w:rFonts w:ascii="Tahoma" w:hAnsi="Tahoma" w:cs="Tahoma"/>
          <w:sz w:val="24"/>
          <w:szCs w:val="24"/>
        </w:rPr>
        <w:t xml:space="preserve"> in </w:t>
      </w:r>
      <w:r w:rsidRPr="00CF6D39">
        <w:rPr>
          <w:rFonts w:ascii="Tahoma" w:hAnsi="Tahoma" w:cs="Tahoma"/>
          <w:b/>
          <w:sz w:val="24"/>
          <w:szCs w:val="24"/>
        </w:rPr>
        <w:t>DPP’s Reference No 1 of 2001</w:t>
      </w:r>
      <w:r>
        <w:rPr>
          <w:rStyle w:val="FootnoteReference"/>
          <w:rFonts w:ascii="Tahoma" w:hAnsi="Tahoma" w:cs="Tahoma"/>
          <w:sz w:val="24"/>
          <w:szCs w:val="24"/>
        </w:rPr>
        <w:footnoteReference w:id="4"/>
      </w:r>
      <w:r>
        <w:rPr>
          <w:rFonts w:ascii="Tahoma" w:hAnsi="Tahoma" w:cs="Tahoma"/>
          <w:sz w:val="24"/>
          <w:szCs w:val="24"/>
        </w:rPr>
        <w:t>:</w:t>
      </w:r>
    </w:p>
    <w:p w:rsidR="00CB573B" w:rsidRDefault="00CB573B" w:rsidP="00CF6D39">
      <w:pPr>
        <w:spacing w:after="0" w:line="240" w:lineRule="auto"/>
        <w:jc w:val="both"/>
        <w:rPr>
          <w:rFonts w:ascii="Tahoma" w:hAnsi="Tahoma" w:cs="Tahoma"/>
          <w:sz w:val="24"/>
          <w:szCs w:val="24"/>
        </w:rPr>
      </w:pPr>
    </w:p>
    <w:p w:rsidR="00CB573B" w:rsidRPr="00CB573B" w:rsidRDefault="00CB573B" w:rsidP="00CB573B">
      <w:pPr>
        <w:spacing w:line="240" w:lineRule="auto"/>
        <w:ind w:left="1440" w:right="1440"/>
        <w:jc w:val="both"/>
        <w:rPr>
          <w:rFonts w:ascii="Tahoma" w:hAnsi="Tahoma" w:cs="Tahoma"/>
          <w:sz w:val="24"/>
          <w:szCs w:val="24"/>
        </w:rPr>
      </w:pPr>
      <w:r w:rsidRPr="00CB573B">
        <w:rPr>
          <w:rFonts w:ascii="Tahoma" w:hAnsi="Tahoma" w:cs="Tahoma"/>
          <w:color w:val="000000"/>
          <w:sz w:val="24"/>
          <w:szCs w:val="24"/>
          <w:shd w:val="clear" w:color="auto" w:fill="FFFFFF"/>
        </w:rPr>
        <w:t>“An essential feature of a codifying statute is that it expressly states that there must not be reliance upon any prior enactments or decisions of courts after the commencement date of the codifying statute.”</w:t>
      </w:r>
      <w:r w:rsidRPr="00CB573B">
        <w:rPr>
          <w:rFonts w:ascii="Tahoma" w:hAnsi="Tahoma" w:cs="Tahoma"/>
          <w:color w:val="000000"/>
          <w:sz w:val="24"/>
          <w:szCs w:val="24"/>
        </w:rPr>
        <w:br/>
      </w:r>
    </w:p>
    <w:p w:rsidR="00CB573B" w:rsidRDefault="00EF0CDA" w:rsidP="00683A26">
      <w:pPr>
        <w:spacing w:line="480" w:lineRule="auto"/>
        <w:jc w:val="both"/>
        <w:rPr>
          <w:rFonts w:ascii="Tahoma" w:hAnsi="Tahoma" w:cs="Tahoma"/>
          <w:sz w:val="24"/>
          <w:szCs w:val="24"/>
        </w:rPr>
      </w:pPr>
      <w:r>
        <w:rPr>
          <w:rFonts w:ascii="Tahoma" w:hAnsi="Tahoma" w:cs="Tahoma"/>
          <w:sz w:val="24"/>
          <w:szCs w:val="24"/>
        </w:rPr>
        <w:t xml:space="preserve">3.   The common law of evidence therefore continues to </w:t>
      </w:r>
      <w:r w:rsidR="00F81172">
        <w:rPr>
          <w:rFonts w:ascii="Tahoma" w:hAnsi="Tahoma" w:cs="Tahoma"/>
          <w:sz w:val="24"/>
          <w:szCs w:val="24"/>
        </w:rPr>
        <w:t>be a</w:t>
      </w:r>
      <w:r>
        <w:rPr>
          <w:rFonts w:ascii="Tahoma" w:hAnsi="Tahoma" w:cs="Tahoma"/>
          <w:sz w:val="24"/>
          <w:szCs w:val="24"/>
        </w:rPr>
        <w:t xml:space="preserve"> fruitful field for development. </w:t>
      </w:r>
      <w:r w:rsidRPr="00EF0CDA">
        <w:rPr>
          <w:rFonts w:ascii="Tahoma" w:hAnsi="Tahoma" w:cs="Tahoma"/>
          <w:b/>
          <w:sz w:val="24"/>
          <w:szCs w:val="24"/>
        </w:rPr>
        <w:t>R v Turnbull</w:t>
      </w:r>
      <w:r w:rsidRPr="00F81172">
        <w:rPr>
          <w:rStyle w:val="FootnoteReference"/>
          <w:rFonts w:ascii="Tahoma" w:hAnsi="Tahoma" w:cs="Tahoma"/>
          <w:sz w:val="24"/>
          <w:szCs w:val="24"/>
        </w:rPr>
        <w:footnoteReference w:id="5"/>
      </w:r>
      <w:r>
        <w:rPr>
          <w:rFonts w:ascii="Tahoma" w:hAnsi="Tahoma" w:cs="Tahoma"/>
          <w:sz w:val="24"/>
          <w:szCs w:val="24"/>
        </w:rPr>
        <w:t>, for instance, the case which has arguably had the most profound effect on the criminal trial in the last 40 years, was purely a product of the common law</w:t>
      </w:r>
      <w:r w:rsidR="00F81172">
        <w:rPr>
          <w:rFonts w:ascii="Tahoma" w:hAnsi="Tahoma" w:cs="Tahoma"/>
          <w:sz w:val="24"/>
          <w:szCs w:val="24"/>
        </w:rPr>
        <w:t>. In that case, as is wel</w:t>
      </w:r>
      <w:r w:rsidR="005E05ED">
        <w:rPr>
          <w:rFonts w:ascii="Tahoma" w:hAnsi="Tahoma" w:cs="Tahoma"/>
          <w:sz w:val="24"/>
          <w:szCs w:val="24"/>
        </w:rPr>
        <w:t xml:space="preserve">l </w:t>
      </w:r>
      <w:r w:rsidR="00F81172">
        <w:rPr>
          <w:rFonts w:ascii="Tahoma" w:hAnsi="Tahoma" w:cs="Tahoma"/>
          <w:sz w:val="24"/>
          <w:szCs w:val="24"/>
        </w:rPr>
        <w:t>known, a specially convened full court of the Criminal Division of the English Court of Appeal</w:t>
      </w:r>
      <w:r w:rsidR="00F81172">
        <w:rPr>
          <w:rStyle w:val="FootnoteReference"/>
          <w:rFonts w:ascii="Tahoma" w:hAnsi="Tahoma" w:cs="Tahoma"/>
          <w:sz w:val="24"/>
          <w:szCs w:val="24"/>
        </w:rPr>
        <w:footnoteReference w:id="6"/>
      </w:r>
      <w:r w:rsidR="00F81172">
        <w:rPr>
          <w:rFonts w:ascii="Tahoma" w:hAnsi="Tahoma" w:cs="Tahoma"/>
          <w:sz w:val="24"/>
          <w:szCs w:val="24"/>
        </w:rPr>
        <w:t xml:space="preserve">, </w:t>
      </w:r>
      <w:r>
        <w:rPr>
          <w:rFonts w:ascii="Tahoma" w:hAnsi="Tahoma" w:cs="Tahoma"/>
          <w:sz w:val="24"/>
          <w:szCs w:val="24"/>
        </w:rPr>
        <w:t xml:space="preserve">drawing its inspiration from the </w:t>
      </w:r>
      <w:r w:rsidR="007C1FD8">
        <w:rPr>
          <w:rFonts w:ascii="Tahoma" w:hAnsi="Tahoma" w:cs="Tahoma"/>
          <w:sz w:val="24"/>
          <w:szCs w:val="24"/>
        </w:rPr>
        <w:t xml:space="preserve">past </w:t>
      </w:r>
      <w:r>
        <w:rPr>
          <w:rFonts w:ascii="Tahoma" w:hAnsi="Tahoma" w:cs="Tahoma"/>
          <w:sz w:val="24"/>
          <w:szCs w:val="24"/>
        </w:rPr>
        <w:t>experience of the judges</w:t>
      </w:r>
      <w:r w:rsidR="00E648DB">
        <w:rPr>
          <w:rFonts w:ascii="Tahoma" w:hAnsi="Tahoma" w:cs="Tahoma"/>
          <w:sz w:val="24"/>
          <w:szCs w:val="24"/>
        </w:rPr>
        <w:t>,</w:t>
      </w:r>
      <w:r w:rsidR="00F81172">
        <w:rPr>
          <w:rFonts w:ascii="Tahoma" w:hAnsi="Tahoma" w:cs="Tahoma"/>
          <w:sz w:val="24"/>
          <w:szCs w:val="24"/>
        </w:rPr>
        <w:t xml:space="preserve"> laid down guidelines on the law of identification which have stood the test of time</w:t>
      </w:r>
      <w:r w:rsidR="00E648DB">
        <w:rPr>
          <w:rStyle w:val="FootnoteReference"/>
          <w:rFonts w:ascii="Tahoma" w:hAnsi="Tahoma" w:cs="Tahoma"/>
          <w:sz w:val="24"/>
          <w:szCs w:val="24"/>
        </w:rPr>
        <w:footnoteReference w:id="7"/>
      </w:r>
      <w:r>
        <w:rPr>
          <w:rFonts w:ascii="Tahoma" w:hAnsi="Tahoma" w:cs="Tahoma"/>
          <w:sz w:val="24"/>
          <w:szCs w:val="24"/>
        </w:rPr>
        <w:t>.</w:t>
      </w:r>
      <w:r w:rsidR="00F81172">
        <w:rPr>
          <w:rFonts w:ascii="Tahoma" w:hAnsi="Tahoma" w:cs="Tahoma"/>
          <w:sz w:val="24"/>
          <w:szCs w:val="24"/>
        </w:rPr>
        <w:t xml:space="preserve"> Another good example is </w:t>
      </w:r>
      <w:r w:rsidR="00F81172" w:rsidRPr="00F81172">
        <w:rPr>
          <w:rFonts w:ascii="Tahoma" w:hAnsi="Tahoma" w:cs="Tahoma"/>
          <w:b/>
          <w:sz w:val="24"/>
          <w:szCs w:val="24"/>
        </w:rPr>
        <w:t>R v Galbraith</w:t>
      </w:r>
      <w:r w:rsidR="00F81172" w:rsidRPr="00F81172">
        <w:rPr>
          <w:rStyle w:val="FootnoteReference"/>
          <w:rFonts w:ascii="Tahoma" w:hAnsi="Tahoma" w:cs="Tahoma"/>
          <w:sz w:val="24"/>
          <w:szCs w:val="24"/>
        </w:rPr>
        <w:footnoteReference w:id="8"/>
      </w:r>
      <w:r w:rsidR="00F81172" w:rsidRPr="00F81172">
        <w:rPr>
          <w:rFonts w:ascii="Tahoma" w:hAnsi="Tahoma" w:cs="Tahoma"/>
          <w:sz w:val="24"/>
          <w:szCs w:val="24"/>
        </w:rPr>
        <w:t xml:space="preserve">, in which the </w:t>
      </w:r>
      <w:r w:rsidR="00F81172">
        <w:rPr>
          <w:rFonts w:ascii="Tahoma" w:hAnsi="Tahoma" w:cs="Tahoma"/>
          <w:sz w:val="24"/>
          <w:szCs w:val="24"/>
        </w:rPr>
        <w:t xml:space="preserve">English Court of Appeal, again in an exercise of deliberate judgment, </w:t>
      </w:r>
      <w:r w:rsidR="001323DE">
        <w:rPr>
          <w:rFonts w:ascii="Tahoma" w:hAnsi="Tahoma" w:cs="Tahoma"/>
          <w:sz w:val="24"/>
          <w:szCs w:val="24"/>
        </w:rPr>
        <w:t>altered (some would say curbed) t</w:t>
      </w:r>
      <w:r w:rsidR="00F81172" w:rsidRPr="00F81172">
        <w:rPr>
          <w:rFonts w:ascii="Tahoma" w:hAnsi="Tahoma" w:cs="Tahoma"/>
          <w:sz w:val="24"/>
          <w:szCs w:val="24"/>
        </w:rPr>
        <w:t>h</w:t>
      </w:r>
      <w:r w:rsidR="001323DE">
        <w:rPr>
          <w:rFonts w:ascii="Tahoma" w:hAnsi="Tahoma" w:cs="Tahoma"/>
          <w:sz w:val="24"/>
          <w:szCs w:val="24"/>
        </w:rPr>
        <w:t>e approach of judges to no case submissions in criminal cases.</w:t>
      </w:r>
      <w:r w:rsidR="005E05ED">
        <w:rPr>
          <w:rFonts w:ascii="Tahoma" w:hAnsi="Tahoma" w:cs="Tahoma"/>
          <w:sz w:val="24"/>
          <w:szCs w:val="24"/>
        </w:rPr>
        <w:t xml:space="preserve"> And lastly in this list of random examples, chosen purely because </w:t>
      </w:r>
      <w:r w:rsidR="007C1FD8">
        <w:rPr>
          <w:rFonts w:ascii="Tahoma" w:hAnsi="Tahoma" w:cs="Tahoma"/>
          <w:sz w:val="24"/>
          <w:szCs w:val="24"/>
        </w:rPr>
        <w:t xml:space="preserve">of their ready </w:t>
      </w:r>
      <w:r w:rsidR="005E05ED">
        <w:rPr>
          <w:rFonts w:ascii="Tahoma" w:hAnsi="Tahoma" w:cs="Tahoma"/>
          <w:sz w:val="24"/>
          <w:szCs w:val="24"/>
        </w:rPr>
        <w:t>familiar</w:t>
      </w:r>
      <w:r w:rsidR="007C1FD8">
        <w:rPr>
          <w:rFonts w:ascii="Tahoma" w:hAnsi="Tahoma" w:cs="Tahoma"/>
          <w:sz w:val="24"/>
          <w:szCs w:val="24"/>
        </w:rPr>
        <w:t>ity</w:t>
      </w:r>
      <w:r w:rsidR="005E05ED">
        <w:rPr>
          <w:rFonts w:ascii="Tahoma" w:hAnsi="Tahoma" w:cs="Tahoma"/>
          <w:sz w:val="24"/>
          <w:szCs w:val="24"/>
        </w:rPr>
        <w:t xml:space="preserve">, there is </w:t>
      </w:r>
      <w:r w:rsidR="005E05ED" w:rsidRPr="005E05ED">
        <w:rPr>
          <w:rFonts w:ascii="Tahoma" w:hAnsi="Tahoma" w:cs="Tahoma"/>
          <w:b/>
          <w:sz w:val="24"/>
          <w:szCs w:val="24"/>
        </w:rPr>
        <w:t>R v Gilbert</w:t>
      </w:r>
      <w:r w:rsidR="005E05ED">
        <w:rPr>
          <w:rStyle w:val="FootnoteReference"/>
          <w:rFonts w:ascii="Tahoma" w:hAnsi="Tahoma" w:cs="Tahoma"/>
          <w:sz w:val="24"/>
          <w:szCs w:val="24"/>
        </w:rPr>
        <w:footnoteReference w:id="9"/>
      </w:r>
      <w:r w:rsidR="005E05ED" w:rsidRPr="005E05ED">
        <w:rPr>
          <w:rFonts w:ascii="Tahoma" w:hAnsi="Tahoma" w:cs="Tahoma"/>
          <w:sz w:val="24"/>
          <w:szCs w:val="24"/>
        </w:rPr>
        <w:t>, in which the Privy Council</w:t>
      </w:r>
      <w:r w:rsidR="005E05ED">
        <w:rPr>
          <w:rFonts w:ascii="Tahoma" w:hAnsi="Tahoma" w:cs="Tahoma"/>
          <w:sz w:val="24"/>
          <w:szCs w:val="24"/>
        </w:rPr>
        <w:t>, some would say in an act of judicial legislation</w:t>
      </w:r>
      <w:r w:rsidR="005042E0">
        <w:rPr>
          <w:rStyle w:val="FootnoteReference"/>
          <w:rFonts w:ascii="Tahoma" w:hAnsi="Tahoma" w:cs="Tahoma"/>
          <w:sz w:val="24"/>
          <w:szCs w:val="24"/>
        </w:rPr>
        <w:footnoteReference w:id="10"/>
      </w:r>
      <w:r w:rsidR="005E05ED">
        <w:rPr>
          <w:rFonts w:ascii="Tahoma" w:hAnsi="Tahoma" w:cs="Tahoma"/>
          <w:sz w:val="24"/>
          <w:szCs w:val="24"/>
        </w:rPr>
        <w:t xml:space="preserve">, </w:t>
      </w:r>
      <w:r w:rsidR="005E05ED">
        <w:rPr>
          <w:rFonts w:ascii="Tahoma" w:hAnsi="Tahoma" w:cs="Tahoma"/>
          <w:sz w:val="24"/>
          <w:szCs w:val="24"/>
        </w:rPr>
        <w:lastRenderedPageBreak/>
        <w:t xml:space="preserve">abolished the rule of practice requiring a mandatory corroboration warning </w:t>
      </w:r>
      <w:r w:rsidR="00DA3B8C">
        <w:rPr>
          <w:rFonts w:ascii="Tahoma" w:hAnsi="Tahoma" w:cs="Tahoma"/>
          <w:sz w:val="24"/>
          <w:szCs w:val="24"/>
        </w:rPr>
        <w:t xml:space="preserve">to the jury </w:t>
      </w:r>
      <w:r w:rsidR="005E05ED">
        <w:rPr>
          <w:rFonts w:ascii="Tahoma" w:hAnsi="Tahoma" w:cs="Tahoma"/>
          <w:sz w:val="24"/>
          <w:szCs w:val="24"/>
        </w:rPr>
        <w:t xml:space="preserve">in </w:t>
      </w:r>
      <w:r w:rsidR="005042E0">
        <w:rPr>
          <w:rFonts w:ascii="Tahoma" w:hAnsi="Tahoma" w:cs="Tahoma"/>
          <w:sz w:val="24"/>
          <w:szCs w:val="24"/>
        </w:rPr>
        <w:t>relation to the evidence of complainants in sexual cases.</w:t>
      </w:r>
      <w:r w:rsidR="005E05ED" w:rsidRPr="005E05ED">
        <w:rPr>
          <w:rFonts w:ascii="Tahoma" w:hAnsi="Tahoma" w:cs="Tahoma"/>
          <w:sz w:val="24"/>
          <w:szCs w:val="24"/>
        </w:rPr>
        <w:t xml:space="preserve"> </w:t>
      </w:r>
    </w:p>
    <w:p w:rsidR="00760FD5" w:rsidRDefault="005042E0" w:rsidP="00683A26">
      <w:pPr>
        <w:spacing w:line="480" w:lineRule="auto"/>
        <w:jc w:val="both"/>
        <w:rPr>
          <w:rFonts w:ascii="Tahoma" w:hAnsi="Tahoma" w:cs="Tahoma"/>
          <w:color w:val="222222"/>
          <w:sz w:val="24"/>
          <w:szCs w:val="24"/>
          <w:shd w:val="clear" w:color="auto" w:fill="FFFFFF"/>
        </w:rPr>
      </w:pPr>
      <w:r>
        <w:rPr>
          <w:rFonts w:ascii="Tahoma" w:hAnsi="Tahoma" w:cs="Tahoma"/>
          <w:sz w:val="24"/>
          <w:szCs w:val="24"/>
        </w:rPr>
        <w:t xml:space="preserve">4.   </w:t>
      </w:r>
      <w:r w:rsidR="00E83B22">
        <w:rPr>
          <w:rFonts w:ascii="Tahoma" w:hAnsi="Tahoma" w:cs="Tahoma"/>
          <w:sz w:val="24"/>
          <w:szCs w:val="24"/>
        </w:rPr>
        <w:t>This</w:t>
      </w:r>
      <w:r w:rsidR="00683A26">
        <w:rPr>
          <w:rFonts w:ascii="Tahoma" w:hAnsi="Tahoma" w:cs="Tahoma"/>
          <w:sz w:val="24"/>
          <w:szCs w:val="24"/>
        </w:rPr>
        <w:t xml:space="preserve"> paper</w:t>
      </w:r>
      <w:r w:rsidR="00E83B22">
        <w:rPr>
          <w:rFonts w:ascii="Tahoma" w:hAnsi="Tahoma" w:cs="Tahoma"/>
          <w:sz w:val="24"/>
          <w:szCs w:val="24"/>
        </w:rPr>
        <w:t xml:space="preserve"> is concerned with</w:t>
      </w:r>
      <w:r>
        <w:rPr>
          <w:rFonts w:ascii="Tahoma" w:hAnsi="Tahoma" w:cs="Tahoma"/>
          <w:sz w:val="24"/>
          <w:szCs w:val="24"/>
        </w:rPr>
        <w:t xml:space="preserve"> </w:t>
      </w:r>
      <w:r w:rsidR="00CC09C9">
        <w:rPr>
          <w:rFonts w:ascii="Tahoma" w:hAnsi="Tahoma" w:cs="Tahoma"/>
          <w:sz w:val="24"/>
          <w:szCs w:val="24"/>
        </w:rPr>
        <w:t>four</w:t>
      </w:r>
      <w:r>
        <w:rPr>
          <w:rFonts w:ascii="Tahoma" w:hAnsi="Tahoma" w:cs="Tahoma"/>
          <w:sz w:val="24"/>
          <w:szCs w:val="24"/>
        </w:rPr>
        <w:t xml:space="preserve"> such areas, </w:t>
      </w:r>
      <w:proofErr w:type="spellStart"/>
      <w:r w:rsidRPr="005042E0">
        <w:rPr>
          <w:rFonts w:ascii="Tahoma" w:hAnsi="Tahoma" w:cs="Tahoma"/>
          <w:i/>
          <w:sz w:val="24"/>
          <w:szCs w:val="24"/>
        </w:rPr>
        <w:t>viz</w:t>
      </w:r>
      <w:proofErr w:type="spellEnd"/>
      <w:r>
        <w:rPr>
          <w:rFonts w:ascii="Tahoma" w:hAnsi="Tahoma" w:cs="Tahoma"/>
          <w:sz w:val="24"/>
          <w:szCs w:val="24"/>
        </w:rPr>
        <w:t xml:space="preserve">, </w:t>
      </w:r>
      <w:r w:rsidR="00760FD5" w:rsidRPr="00760FD5">
        <w:rPr>
          <w:rFonts w:ascii="Tahoma" w:hAnsi="Tahoma" w:cs="Tahoma"/>
          <w:color w:val="222222"/>
          <w:sz w:val="24"/>
          <w:szCs w:val="24"/>
          <w:shd w:val="clear" w:color="auto" w:fill="FFFFFF"/>
        </w:rPr>
        <w:t>dock identification</w:t>
      </w:r>
      <w:r w:rsidR="00760FD5">
        <w:rPr>
          <w:rFonts w:ascii="Tahoma" w:hAnsi="Tahoma" w:cs="Tahoma"/>
          <w:color w:val="222222"/>
          <w:sz w:val="24"/>
          <w:szCs w:val="24"/>
          <w:shd w:val="clear" w:color="auto" w:fill="FFFFFF"/>
        </w:rPr>
        <w:t xml:space="preserve">, </w:t>
      </w:r>
      <w:r w:rsidR="00760FD5" w:rsidRPr="00760FD5">
        <w:rPr>
          <w:rFonts w:ascii="Tahoma" w:hAnsi="Tahoma" w:cs="Tahoma"/>
          <w:color w:val="222222"/>
          <w:sz w:val="24"/>
          <w:szCs w:val="24"/>
          <w:shd w:val="clear" w:color="auto" w:fill="FFFFFF"/>
        </w:rPr>
        <w:t>good character directions</w:t>
      </w:r>
      <w:r w:rsidR="00760FD5">
        <w:rPr>
          <w:rFonts w:ascii="Tahoma" w:hAnsi="Tahoma" w:cs="Tahoma"/>
          <w:color w:val="222222"/>
          <w:sz w:val="24"/>
          <w:szCs w:val="24"/>
          <w:shd w:val="clear" w:color="auto" w:fill="FFFFFF"/>
        </w:rPr>
        <w:t xml:space="preserve">, </w:t>
      </w:r>
      <w:r w:rsidR="00760FD5" w:rsidRPr="00760FD5">
        <w:rPr>
          <w:rFonts w:ascii="Tahoma" w:hAnsi="Tahoma" w:cs="Tahoma"/>
          <w:color w:val="222222"/>
          <w:sz w:val="24"/>
          <w:szCs w:val="24"/>
          <w:shd w:val="clear" w:color="auto" w:fill="FFFFFF"/>
        </w:rPr>
        <w:t>confessions</w:t>
      </w:r>
      <w:r w:rsidR="00760FD5">
        <w:rPr>
          <w:rFonts w:ascii="Tahoma" w:hAnsi="Tahoma" w:cs="Tahoma"/>
          <w:color w:val="222222"/>
          <w:sz w:val="24"/>
          <w:szCs w:val="24"/>
          <w:shd w:val="clear" w:color="auto" w:fill="FFFFFF"/>
        </w:rPr>
        <w:t xml:space="preserve"> and </w:t>
      </w:r>
      <w:r w:rsidR="00760FD5" w:rsidRPr="00760FD5">
        <w:rPr>
          <w:rFonts w:ascii="Tahoma" w:hAnsi="Tahoma" w:cs="Tahoma"/>
          <w:color w:val="222222"/>
          <w:sz w:val="24"/>
          <w:szCs w:val="24"/>
          <w:shd w:val="clear" w:color="auto" w:fill="FFFFFF"/>
        </w:rPr>
        <w:t xml:space="preserve">hearsay </w:t>
      </w:r>
      <w:r w:rsidR="00760FD5">
        <w:rPr>
          <w:rFonts w:ascii="Tahoma" w:hAnsi="Tahoma" w:cs="Tahoma"/>
          <w:color w:val="222222"/>
          <w:sz w:val="24"/>
          <w:szCs w:val="24"/>
          <w:shd w:val="clear" w:color="auto" w:fill="FFFFFF"/>
        </w:rPr>
        <w:t>evidence. In the first three areas, the developments to which refer</w:t>
      </w:r>
      <w:r w:rsidR="00E83B22">
        <w:rPr>
          <w:rFonts w:ascii="Tahoma" w:hAnsi="Tahoma" w:cs="Tahoma"/>
          <w:color w:val="222222"/>
          <w:sz w:val="24"/>
          <w:szCs w:val="24"/>
          <w:shd w:val="clear" w:color="auto" w:fill="FFFFFF"/>
        </w:rPr>
        <w:t>ence will be made</w:t>
      </w:r>
      <w:r w:rsidR="00760FD5">
        <w:rPr>
          <w:rFonts w:ascii="Tahoma" w:hAnsi="Tahoma" w:cs="Tahoma"/>
          <w:color w:val="222222"/>
          <w:sz w:val="24"/>
          <w:szCs w:val="24"/>
          <w:shd w:val="clear" w:color="auto" w:fill="FFFFFF"/>
        </w:rPr>
        <w:t xml:space="preserve"> have all been </w:t>
      </w:r>
      <w:r w:rsidR="00E83B22">
        <w:rPr>
          <w:rFonts w:ascii="Tahoma" w:hAnsi="Tahoma" w:cs="Tahoma"/>
          <w:color w:val="222222"/>
          <w:sz w:val="24"/>
          <w:szCs w:val="24"/>
          <w:shd w:val="clear" w:color="auto" w:fill="FFFFFF"/>
        </w:rPr>
        <w:t>fuelled</w:t>
      </w:r>
      <w:r w:rsidR="00760FD5">
        <w:rPr>
          <w:rFonts w:ascii="Tahoma" w:hAnsi="Tahoma" w:cs="Tahoma"/>
          <w:color w:val="222222"/>
          <w:sz w:val="24"/>
          <w:szCs w:val="24"/>
          <w:shd w:val="clear" w:color="auto" w:fill="FFFFFF"/>
        </w:rPr>
        <w:t xml:space="preserve"> by decisions of the Privy Council on appeal from our several jurisdictions. In the fourth, I will refer to a recent decision of the Caribbean Court of Justice</w:t>
      </w:r>
      <w:r w:rsidR="002E17E9">
        <w:rPr>
          <w:rFonts w:ascii="Tahoma" w:hAnsi="Tahoma" w:cs="Tahoma"/>
          <w:color w:val="222222"/>
          <w:sz w:val="24"/>
          <w:szCs w:val="24"/>
          <w:shd w:val="clear" w:color="auto" w:fill="FFFFFF"/>
        </w:rPr>
        <w:t xml:space="preserve"> (‘the CCJ’)</w:t>
      </w:r>
      <w:r w:rsidR="00760FD5">
        <w:rPr>
          <w:rFonts w:ascii="Tahoma" w:hAnsi="Tahoma" w:cs="Tahoma"/>
          <w:color w:val="222222"/>
          <w:sz w:val="24"/>
          <w:szCs w:val="24"/>
          <w:shd w:val="clear" w:color="auto" w:fill="FFFFFF"/>
        </w:rPr>
        <w:t>.</w:t>
      </w:r>
      <w:r w:rsidR="00ED5836">
        <w:rPr>
          <w:rFonts w:ascii="Tahoma" w:hAnsi="Tahoma" w:cs="Tahoma"/>
          <w:color w:val="222222"/>
          <w:sz w:val="24"/>
          <w:szCs w:val="24"/>
          <w:shd w:val="clear" w:color="auto" w:fill="FFFFFF"/>
        </w:rPr>
        <w:t xml:space="preserve"> Modern judicial developments in each of these areas, I will want to suggest, </w:t>
      </w:r>
      <w:r w:rsidR="00DA3B8C">
        <w:rPr>
          <w:rFonts w:ascii="Tahoma" w:hAnsi="Tahoma" w:cs="Tahoma"/>
          <w:color w:val="222222"/>
          <w:sz w:val="24"/>
          <w:szCs w:val="24"/>
          <w:shd w:val="clear" w:color="auto" w:fill="FFFFFF"/>
        </w:rPr>
        <w:t>reaffirm</w:t>
      </w:r>
      <w:r w:rsidR="00ED5836">
        <w:rPr>
          <w:rFonts w:ascii="Tahoma" w:hAnsi="Tahoma" w:cs="Tahoma"/>
          <w:color w:val="222222"/>
          <w:sz w:val="24"/>
          <w:szCs w:val="24"/>
          <w:shd w:val="clear" w:color="auto" w:fill="FFFFFF"/>
        </w:rPr>
        <w:t xml:space="preserve"> the continued vitality of the common law of evidence, even in an era when it is to legislative action that we </w:t>
      </w:r>
      <w:r w:rsidR="00E83B22">
        <w:rPr>
          <w:rFonts w:ascii="Tahoma" w:hAnsi="Tahoma" w:cs="Tahoma"/>
          <w:color w:val="222222"/>
          <w:sz w:val="24"/>
          <w:szCs w:val="24"/>
          <w:shd w:val="clear" w:color="auto" w:fill="FFFFFF"/>
        </w:rPr>
        <w:t>instinctive</w:t>
      </w:r>
      <w:r w:rsidR="00DA3B8C">
        <w:rPr>
          <w:rFonts w:ascii="Tahoma" w:hAnsi="Tahoma" w:cs="Tahoma"/>
          <w:color w:val="222222"/>
          <w:sz w:val="24"/>
          <w:szCs w:val="24"/>
          <w:shd w:val="clear" w:color="auto" w:fill="FFFFFF"/>
        </w:rPr>
        <w:t>ly</w:t>
      </w:r>
      <w:r w:rsidR="00ED5836">
        <w:rPr>
          <w:rFonts w:ascii="Tahoma" w:hAnsi="Tahoma" w:cs="Tahoma"/>
          <w:color w:val="222222"/>
          <w:sz w:val="24"/>
          <w:szCs w:val="24"/>
          <w:shd w:val="clear" w:color="auto" w:fill="FFFFFF"/>
        </w:rPr>
        <w:t xml:space="preserve"> look for significant reform.    </w:t>
      </w:r>
    </w:p>
    <w:p w:rsidR="00760FD5" w:rsidRDefault="00760FD5" w:rsidP="00683A26">
      <w:pPr>
        <w:spacing w:line="480" w:lineRule="auto"/>
        <w:jc w:val="both"/>
        <w:rPr>
          <w:rFonts w:ascii="Tahoma" w:hAnsi="Tahoma" w:cs="Tahoma"/>
          <w:b/>
          <w:color w:val="222222"/>
          <w:sz w:val="24"/>
          <w:szCs w:val="24"/>
          <w:shd w:val="clear" w:color="auto" w:fill="FFFFFF"/>
        </w:rPr>
      </w:pPr>
      <w:r w:rsidRPr="00760FD5">
        <w:rPr>
          <w:rFonts w:ascii="Tahoma" w:hAnsi="Tahoma" w:cs="Tahoma"/>
          <w:b/>
          <w:color w:val="222222"/>
          <w:sz w:val="24"/>
          <w:szCs w:val="24"/>
          <w:shd w:val="clear" w:color="auto" w:fill="FFFFFF"/>
        </w:rPr>
        <w:t>Dock identification</w:t>
      </w:r>
    </w:p>
    <w:p w:rsidR="00A924B8" w:rsidRDefault="00760FD5" w:rsidP="00683A26">
      <w:pPr>
        <w:spacing w:line="480" w:lineRule="auto"/>
        <w:jc w:val="both"/>
        <w:rPr>
          <w:rFonts w:ascii="Tahoma" w:hAnsi="Tahoma" w:cs="Tahoma"/>
          <w:color w:val="222222"/>
          <w:sz w:val="24"/>
          <w:szCs w:val="24"/>
          <w:shd w:val="clear" w:color="auto" w:fill="FFFFFF"/>
        </w:rPr>
      </w:pPr>
      <w:r w:rsidRPr="00760FD5">
        <w:rPr>
          <w:rFonts w:ascii="Tahoma" w:hAnsi="Tahoma" w:cs="Tahoma"/>
          <w:color w:val="222222"/>
          <w:sz w:val="24"/>
          <w:szCs w:val="24"/>
          <w:shd w:val="clear" w:color="auto" w:fill="FFFFFF"/>
        </w:rPr>
        <w:t>5.</w:t>
      </w:r>
      <w:r w:rsidR="004224F1">
        <w:rPr>
          <w:rFonts w:ascii="Tahoma" w:hAnsi="Tahoma" w:cs="Tahoma"/>
          <w:color w:val="222222"/>
          <w:sz w:val="24"/>
          <w:szCs w:val="24"/>
          <w:shd w:val="clear" w:color="auto" w:fill="FFFFFF"/>
        </w:rPr>
        <w:t xml:space="preserve">   Dock </w:t>
      </w:r>
      <w:proofErr w:type="gramStart"/>
      <w:r w:rsidR="004224F1">
        <w:rPr>
          <w:rFonts w:ascii="Tahoma" w:hAnsi="Tahoma" w:cs="Tahoma"/>
          <w:color w:val="222222"/>
          <w:sz w:val="24"/>
          <w:szCs w:val="24"/>
          <w:shd w:val="clear" w:color="auto" w:fill="FFFFFF"/>
        </w:rPr>
        <w:t>identificatio</w:t>
      </w:r>
      <w:r w:rsidR="00917EB1">
        <w:rPr>
          <w:rFonts w:ascii="Tahoma" w:hAnsi="Tahoma" w:cs="Tahoma"/>
          <w:color w:val="222222"/>
          <w:sz w:val="24"/>
          <w:szCs w:val="24"/>
          <w:shd w:val="clear" w:color="auto" w:fill="FFFFFF"/>
        </w:rPr>
        <w:t>n, that</w:t>
      </w:r>
      <w:proofErr w:type="gramEnd"/>
      <w:r w:rsidR="00917EB1">
        <w:rPr>
          <w:rFonts w:ascii="Tahoma" w:hAnsi="Tahoma" w:cs="Tahoma"/>
          <w:color w:val="222222"/>
          <w:sz w:val="24"/>
          <w:szCs w:val="24"/>
          <w:shd w:val="clear" w:color="auto" w:fill="FFFFFF"/>
        </w:rPr>
        <w:t xml:space="preserve"> is, asking the identifying witness to identify the </w:t>
      </w:r>
      <w:r w:rsidR="006D508C">
        <w:rPr>
          <w:rFonts w:ascii="Tahoma" w:hAnsi="Tahoma" w:cs="Tahoma"/>
          <w:color w:val="222222"/>
          <w:sz w:val="24"/>
          <w:szCs w:val="24"/>
          <w:shd w:val="clear" w:color="auto" w:fill="FFFFFF"/>
        </w:rPr>
        <w:t>person</w:t>
      </w:r>
      <w:r w:rsidR="00917EB1">
        <w:rPr>
          <w:rFonts w:ascii="Tahoma" w:hAnsi="Tahoma" w:cs="Tahoma"/>
          <w:color w:val="222222"/>
          <w:sz w:val="24"/>
          <w:szCs w:val="24"/>
          <w:shd w:val="clear" w:color="auto" w:fill="FFFFFF"/>
        </w:rPr>
        <w:t xml:space="preserve"> in the dock </w:t>
      </w:r>
      <w:r w:rsidR="00D36E8F">
        <w:rPr>
          <w:rFonts w:ascii="Tahoma" w:hAnsi="Tahoma" w:cs="Tahoma"/>
          <w:color w:val="222222"/>
          <w:sz w:val="24"/>
          <w:szCs w:val="24"/>
          <w:shd w:val="clear" w:color="auto" w:fill="FFFFFF"/>
        </w:rPr>
        <w:t xml:space="preserve">for the first time </w:t>
      </w:r>
      <w:r w:rsidR="00917EB1">
        <w:rPr>
          <w:rFonts w:ascii="Tahoma" w:hAnsi="Tahoma" w:cs="Tahoma"/>
          <w:color w:val="222222"/>
          <w:sz w:val="24"/>
          <w:szCs w:val="24"/>
          <w:shd w:val="clear" w:color="auto" w:fill="FFFFFF"/>
        </w:rPr>
        <w:t>as the criminal</w:t>
      </w:r>
      <w:r w:rsidR="00E83B22">
        <w:rPr>
          <w:rFonts w:ascii="Tahoma" w:hAnsi="Tahoma" w:cs="Tahoma"/>
          <w:color w:val="222222"/>
          <w:sz w:val="24"/>
          <w:szCs w:val="24"/>
          <w:shd w:val="clear" w:color="auto" w:fill="FFFFFF"/>
        </w:rPr>
        <w:t>,</w:t>
      </w:r>
      <w:r w:rsidR="00917EB1">
        <w:rPr>
          <w:rFonts w:ascii="Tahoma" w:hAnsi="Tahoma" w:cs="Tahoma"/>
          <w:color w:val="222222"/>
          <w:sz w:val="24"/>
          <w:szCs w:val="24"/>
          <w:shd w:val="clear" w:color="auto" w:fill="FFFFFF"/>
        </w:rPr>
        <w:t xml:space="preserve"> has </w:t>
      </w:r>
      <w:r w:rsidR="00FD119E">
        <w:rPr>
          <w:rFonts w:ascii="Tahoma" w:hAnsi="Tahoma" w:cs="Tahoma"/>
          <w:color w:val="222222"/>
          <w:sz w:val="24"/>
          <w:szCs w:val="24"/>
          <w:shd w:val="clear" w:color="auto" w:fill="FFFFFF"/>
        </w:rPr>
        <w:t>long</w:t>
      </w:r>
      <w:r w:rsidR="00917EB1">
        <w:rPr>
          <w:rFonts w:ascii="Tahoma" w:hAnsi="Tahoma" w:cs="Tahoma"/>
          <w:color w:val="222222"/>
          <w:sz w:val="24"/>
          <w:szCs w:val="24"/>
          <w:shd w:val="clear" w:color="auto" w:fill="FFFFFF"/>
        </w:rPr>
        <w:t xml:space="preserve"> been regarded as an unsatisfactory </w:t>
      </w:r>
      <w:r w:rsidR="006D508C">
        <w:rPr>
          <w:rFonts w:ascii="Tahoma" w:hAnsi="Tahoma" w:cs="Tahoma"/>
          <w:color w:val="222222"/>
          <w:sz w:val="24"/>
          <w:szCs w:val="24"/>
          <w:shd w:val="clear" w:color="auto" w:fill="FFFFFF"/>
        </w:rPr>
        <w:t xml:space="preserve">and even dangerous </w:t>
      </w:r>
      <w:r w:rsidR="00917EB1">
        <w:rPr>
          <w:rFonts w:ascii="Tahoma" w:hAnsi="Tahoma" w:cs="Tahoma"/>
          <w:color w:val="222222"/>
          <w:sz w:val="24"/>
          <w:szCs w:val="24"/>
          <w:shd w:val="clear" w:color="auto" w:fill="FFFFFF"/>
        </w:rPr>
        <w:t>method of identification. The vice is obvious</w:t>
      </w:r>
      <w:r w:rsidR="006D508C">
        <w:rPr>
          <w:rFonts w:ascii="Tahoma" w:hAnsi="Tahoma" w:cs="Tahoma"/>
          <w:color w:val="222222"/>
          <w:sz w:val="24"/>
          <w:szCs w:val="24"/>
          <w:shd w:val="clear" w:color="auto" w:fill="FFFFFF"/>
        </w:rPr>
        <w:t xml:space="preserve">. To ask the witness to identify the person in the dock is inherently leading and more likely than not to produce </w:t>
      </w:r>
      <w:r w:rsidR="00D6085F">
        <w:rPr>
          <w:rFonts w:ascii="Tahoma" w:hAnsi="Tahoma" w:cs="Tahoma"/>
          <w:color w:val="222222"/>
          <w:sz w:val="24"/>
          <w:szCs w:val="24"/>
          <w:shd w:val="clear" w:color="auto" w:fill="FFFFFF"/>
        </w:rPr>
        <w:t>the</w:t>
      </w:r>
      <w:r w:rsidR="006D508C">
        <w:rPr>
          <w:rFonts w:ascii="Tahoma" w:hAnsi="Tahoma" w:cs="Tahoma"/>
          <w:color w:val="222222"/>
          <w:sz w:val="24"/>
          <w:szCs w:val="24"/>
          <w:shd w:val="clear" w:color="auto" w:fill="FFFFFF"/>
        </w:rPr>
        <w:t xml:space="preserve"> answer </w:t>
      </w:r>
      <w:r w:rsidR="00683A26">
        <w:rPr>
          <w:rFonts w:ascii="Tahoma" w:hAnsi="Tahoma" w:cs="Tahoma"/>
          <w:color w:val="222222"/>
          <w:sz w:val="24"/>
          <w:szCs w:val="24"/>
          <w:shd w:val="clear" w:color="auto" w:fill="FFFFFF"/>
        </w:rPr>
        <w:t xml:space="preserve">that </w:t>
      </w:r>
      <w:proofErr w:type="spellStart"/>
      <w:r w:rsidR="00683A26">
        <w:rPr>
          <w:rFonts w:ascii="Tahoma" w:hAnsi="Tahoma" w:cs="Tahoma"/>
          <w:color w:val="222222"/>
          <w:sz w:val="24"/>
          <w:szCs w:val="24"/>
          <w:shd w:val="clear" w:color="auto" w:fill="FFFFFF"/>
        </w:rPr>
        <w:t>favours</w:t>
      </w:r>
      <w:proofErr w:type="spellEnd"/>
      <w:r w:rsidR="006D508C">
        <w:rPr>
          <w:rFonts w:ascii="Tahoma" w:hAnsi="Tahoma" w:cs="Tahoma"/>
          <w:color w:val="222222"/>
          <w:sz w:val="24"/>
          <w:szCs w:val="24"/>
          <w:shd w:val="clear" w:color="auto" w:fill="FFFFFF"/>
        </w:rPr>
        <w:t xml:space="preserve"> the prosecution. A good, if perhaps unusual, example is provided by </w:t>
      </w:r>
      <w:r w:rsidR="006D508C" w:rsidRPr="006D508C">
        <w:rPr>
          <w:rFonts w:ascii="Tahoma" w:hAnsi="Tahoma" w:cs="Tahoma"/>
          <w:b/>
          <w:color w:val="222222"/>
          <w:sz w:val="24"/>
          <w:szCs w:val="24"/>
          <w:shd w:val="clear" w:color="auto" w:fill="FFFFFF"/>
        </w:rPr>
        <w:t xml:space="preserve">R v </w:t>
      </w:r>
      <w:proofErr w:type="spellStart"/>
      <w:r w:rsidR="006D508C" w:rsidRPr="006D508C">
        <w:rPr>
          <w:rFonts w:ascii="Tahoma" w:hAnsi="Tahoma" w:cs="Tahoma"/>
          <w:b/>
          <w:color w:val="222222"/>
          <w:sz w:val="24"/>
          <w:szCs w:val="24"/>
          <w:shd w:val="clear" w:color="auto" w:fill="FFFFFF"/>
        </w:rPr>
        <w:t>Tricoglus</w:t>
      </w:r>
      <w:proofErr w:type="spellEnd"/>
      <w:r w:rsidR="006D508C">
        <w:rPr>
          <w:rStyle w:val="FootnoteReference"/>
          <w:rFonts w:ascii="Tahoma" w:hAnsi="Tahoma" w:cs="Tahoma"/>
          <w:color w:val="222222"/>
          <w:sz w:val="24"/>
          <w:szCs w:val="24"/>
          <w:shd w:val="clear" w:color="auto" w:fill="FFFFFF"/>
        </w:rPr>
        <w:footnoteReference w:id="11"/>
      </w:r>
      <w:r w:rsidR="006D508C">
        <w:rPr>
          <w:rFonts w:ascii="Tahoma" w:hAnsi="Tahoma" w:cs="Tahoma"/>
          <w:color w:val="222222"/>
          <w:sz w:val="24"/>
          <w:szCs w:val="24"/>
          <w:shd w:val="clear" w:color="auto" w:fill="FFFFFF"/>
        </w:rPr>
        <w:t xml:space="preserve">, in which the witness, having picked out someone else at the identification parade, identified the defendant in the dock. The trial judge </w:t>
      </w:r>
      <w:r w:rsidR="00FD119E">
        <w:rPr>
          <w:rFonts w:ascii="Tahoma" w:hAnsi="Tahoma" w:cs="Tahoma"/>
          <w:color w:val="222222"/>
          <w:sz w:val="24"/>
          <w:szCs w:val="24"/>
          <w:shd w:val="clear" w:color="auto" w:fill="FFFFFF"/>
        </w:rPr>
        <w:t xml:space="preserve">did </w:t>
      </w:r>
      <w:r w:rsidR="006D508C">
        <w:rPr>
          <w:rFonts w:ascii="Tahoma" w:hAnsi="Tahoma" w:cs="Tahoma"/>
          <w:color w:val="222222"/>
          <w:sz w:val="24"/>
          <w:szCs w:val="24"/>
          <w:shd w:val="clear" w:color="auto" w:fill="FFFFFF"/>
        </w:rPr>
        <w:t>not deal with the matter at all, either at the point when the identification was made or in the summing-up</w:t>
      </w:r>
      <w:r w:rsidR="00FD119E">
        <w:rPr>
          <w:rFonts w:ascii="Tahoma" w:hAnsi="Tahoma" w:cs="Tahoma"/>
          <w:color w:val="222222"/>
          <w:sz w:val="24"/>
          <w:szCs w:val="24"/>
          <w:shd w:val="clear" w:color="auto" w:fill="FFFFFF"/>
        </w:rPr>
        <w:t>. As a result,</w:t>
      </w:r>
      <w:r w:rsidR="006D508C">
        <w:rPr>
          <w:rFonts w:ascii="Tahoma" w:hAnsi="Tahoma" w:cs="Tahoma"/>
          <w:color w:val="222222"/>
          <w:sz w:val="24"/>
          <w:szCs w:val="24"/>
          <w:shd w:val="clear" w:color="auto" w:fill="FFFFFF"/>
        </w:rPr>
        <w:t xml:space="preserve"> the Court of Appeal had no difficulty in quashing the </w:t>
      </w:r>
      <w:r w:rsidR="006D508C">
        <w:rPr>
          <w:rFonts w:ascii="Tahoma" w:hAnsi="Tahoma" w:cs="Tahoma"/>
          <w:color w:val="222222"/>
          <w:sz w:val="24"/>
          <w:szCs w:val="24"/>
          <w:shd w:val="clear" w:color="auto" w:fill="FFFFFF"/>
        </w:rPr>
        <w:lastRenderedPageBreak/>
        <w:t>conviction</w:t>
      </w:r>
      <w:r w:rsidR="007C1FD8">
        <w:rPr>
          <w:rFonts w:ascii="Tahoma" w:hAnsi="Tahoma" w:cs="Tahoma"/>
          <w:color w:val="222222"/>
          <w:sz w:val="24"/>
          <w:szCs w:val="24"/>
          <w:shd w:val="clear" w:color="auto" w:fill="FFFFFF"/>
        </w:rPr>
        <w:t>, citing</w:t>
      </w:r>
      <w:r w:rsidR="00E92889">
        <w:rPr>
          <w:rFonts w:ascii="Tahoma" w:hAnsi="Tahoma" w:cs="Tahoma"/>
          <w:color w:val="222222"/>
          <w:sz w:val="24"/>
          <w:szCs w:val="24"/>
          <w:shd w:val="clear" w:color="auto" w:fill="FFFFFF"/>
        </w:rPr>
        <w:t>, among other things, the unsatisfactory nature of the identifying evidence.</w:t>
      </w:r>
    </w:p>
    <w:p w:rsidR="00FD119E" w:rsidRDefault="00FD119E" w:rsidP="00683A26">
      <w:pPr>
        <w:spacing w:line="480" w:lineRule="auto"/>
        <w:jc w:val="both"/>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6.   </w:t>
      </w:r>
      <w:r w:rsidR="008D68F7">
        <w:rPr>
          <w:rFonts w:ascii="Tahoma" w:hAnsi="Tahoma" w:cs="Tahoma"/>
          <w:color w:val="222222"/>
          <w:sz w:val="24"/>
          <w:szCs w:val="24"/>
          <w:shd w:val="clear" w:color="auto" w:fill="FFFFFF"/>
        </w:rPr>
        <w:t>So seriously regarded were t</w:t>
      </w:r>
      <w:r>
        <w:rPr>
          <w:rFonts w:ascii="Tahoma" w:hAnsi="Tahoma" w:cs="Tahoma"/>
          <w:color w:val="222222"/>
          <w:sz w:val="24"/>
          <w:szCs w:val="24"/>
          <w:shd w:val="clear" w:color="auto" w:fill="FFFFFF"/>
        </w:rPr>
        <w:t>he problems caused by dock identification that, as long ago as 1976, the Devlin Committee Report</w:t>
      </w:r>
      <w:r w:rsidR="008321AE">
        <w:rPr>
          <w:rStyle w:val="FootnoteReference"/>
          <w:rFonts w:ascii="Tahoma" w:hAnsi="Tahoma" w:cs="Tahoma"/>
          <w:color w:val="222222"/>
          <w:sz w:val="24"/>
          <w:szCs w:val="24"/>
          <w:shd w:val="clear" w:color="auto" w:fill="FFFFFF"/>
        </w:rPr>
        <w:footnoteReference w:id="12"/>
      </w:r>
      <w:r>
        <w:rPr>
          <w:rFonts w:ascii="Tahoma" w:hAnsi="Tahoma" w:cs="Tahoma"/>
          <w:color w:val="222222"/>
          <w:sz w:val="24"/>
          <w:szCs w:val="24"/>
          <w:shd w:val="clear" w:color="auto" w:fill="FFFFFF"/>
        </w:rPr>
        <w:t xml:space="preserve"> </w:t>
      </w:r>
      <w:r w:rsidR="007C1FD8">
        <w:rPr>
          <w:rFonts w:ascii="Tahoma" w:hAnsi="Tahoma" w:cs="Tahoma"/>
          <w:color w:val="222222"/>
          <w:sz w:val="24"/>
          <w:szCs w:val="24"/>
          <w:shd w:val="clear" w:color="auto" w:fill="FFFFFF"/>
        </w:rPr>
        <w:t xml:space="preserve">had </w:t>
      </w:r>
      <w:r>
        <w:rPr>
          <w:rFonts w:ascii="Tahoma" w:hAnsi="Tahoma" w:cs="Tahoma"/>
          <w:color w:val="222222"/>
          <w:sz w:val="24"/>
          <w:szCs w:val="24"/>
          <w:shd w:val="clear" w:color="auto" w:fill="FFFFFF"/>
        </w:rPr>
        <w:t>recommended that</w:t>
      </w:r>
      <w:r w:rsidR="008321AE">
        <w:rPr>
          <w:rFonts w:ascii="Tahoma" w:hAnsi="Tahoma" w:cs="Tahoma"/>
          <w:color w:val="222222"/>
          <w:sz w:val="24"/>
          <w:szCs w:val="24"/>
          <w:shd w:val="clear" w:color="auto" w:fill="FFFFFF"/>
        </w:rPr>
        <w:t xml:space="preserve"> it should become a purely formal matter. That is, that it should be allowed only where identification had been previously made at an identification parade, unless the judge took the view that to hold a parade would be impractical or unnecessary. Although that recommendation was never accepted, courts at all levels have continued to stress the undesirability of this form of identification.</w:t>
      </w:r>
      <w:r>
        <w:rPr>
          <w:rFonts w:ascii="Tahoma" w:hAnsi="Tahoma" w:cs="Tahoma"/>
          <w:color w:val="222222"/>
          <w:sz w:val="24"/>
          <w:szCs w:val="24"/>
          <w:shd w:val="clear" w:color="auto" w:fill="FFFFFF"/>
        </w:rPr>
        <w:t xml:space="preserve"> </w:t>
      </w:r>
    </w:p>
    <w:p w:rsidR="00A924B8" w:rsidRDefault="008321AE" w:rsidP="00683A26">
      <w:pPr>
        <w:spacing w:line="480" w:lineRule="auto"/>
        <w:jc w:val="both"/>
        <w:rPr>
          <w:rFonts w:ascii="Tahoma" w:hAnsi="Tahoma" w:cs="Tahoma"/>
          <w:color w:val="000000"/>
          <w:sz w:val="24"/>
          <w:szCs w:val="24"/>
        </w:rPr>
      </w:pPr>
      <w:r>
        <w:rPr>
          <w:rFonts w:ascii="Tahoma" w:hAnsi="Tahoma" w:cs="Tahoma"/>
          <w:color w:val="222222"/>
          <w:sz w:val="24"/>
          <w:szCs w:val="24"/>
          <w:shd w:val="clear" w:color="auto" w:fill="FFFFFF"/>
        </w:rPr>
        <w:t>7</w:t>
      </w:r>
      <w:r w:rsidR="00A924B8" w:rsidRPr="00A4764B">
        <w:rPr>
          <w:rFonts w:ascii="Tahoma" w:hAnsi="Tahoma" w:cs="Tahoma"/>
          <w:color w:val="222222"/>
          <w:sz w:val="24"/>
          <w:szCs w:val="24"/>
          <w:shd w:val="clear" w:color="auto" w:fill="FFFFFF"/>
        </w:rPr>
        <w:t xml:space="preserve">.   In </w:t>
      </w:r>
      <w:r w:rsidR="00A924B8" w:rsidRPr="00A4764B">
        <w:rPr>
          <w:rFonts w:ascii="Tahoma" w:hAnsi="Tahoma" w:cs="Tahoma"/>
          <w:b/>
          <w:color w:val="222222"/>
          <w:sz w:val="24"/>
          <w:szCs w:val="24"/>
          <w:shd w:val="clear" w:color="auto" w:fill="FFFFFF"/>
        </w:rPr>
        <w:t>Aurelio Pop v R</w:t>
      </w:r>
      <w:r w:rsidR="00A924B8" w:rsidRPr="00A4764B">
        <w:rPr>
          <w:rStyle w:val="FootnoteReference"/>
          <w:rFonts w:ascii="Tahoma" w:hAnsi="Tahoma" w:cs="Tahoma"/>
          <w:color w:val="222222"/>
          <w:sz w:val="24"/>
          <w:szCs w:val="24"/>
          <w:shd w:val="clear" w:color="auto" w:fill="FFFFFF"/>
        </w:rPr>
        <w:footnoteReference w:id="13"/>
      </w:r>
      <w:r w:rsidR="00A924B8" w:rsidRPr="00A4764B">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 xml:space="preserve">a decision on appeal from the Court of Appeal of Belize, </w:t>
      </w:r>
      <w:r w:rsidR="00A924B8" w:rsidRPr="00A4764B">
        <w:rPr>
          <w:rFonts w:ascii="Tahoma" w:hAnsi="Tahoma" w:cs="Tahoma"/>
          <w:color w:val="222222"/>
          <w:sz w:val="24"/>
          <w:szCs w:val="24"/>
          <w:shd w:val="clear" w:color="auto" w:fill="FFFFFF"/>
        </w:rPr>
        <w:t xml:space="preserve">the Privy Council </w:t>
      </w:r>
      <w:proofErr w:type="spellStart"/>
      <w:r w:rsidR="00A924B8" w:rsidRPr="00A4764B">
        <w:rPr>
          <w:rFonts w:ascii="Tahoma" w:hAnsi="Tahoma" w:cs="Tahoma"/>
          <w:color w:val="222222"/>
          <w:sz w:val="24"/>
          <w:szCs w:val="24"/>
          <w:shd w:val="clear" w:color="auto" w:fill="FFFFFF"/>
        </w:rPr>
        <w:t>emphasised</w:t>
      </w:r>
      <w:proofErr w:type="spellEnd"/>
      <w:r w:rsidR="00A924B8" w:rsidRPr="00A4764B">
        <w:rPr>
          <w:rFonts w:ascii="Tahoma" w:hAnsi="Tahoma" w:cs="Tahoma"/>
          <w:color w:val="222222"/>
          <w:sz w:val="24"/>
          <w:szCs w:val="24"/>
          <w:shd w:val="clear" w:color="auto" w:fill="FFFFFF"/>
        </w:rPr>
        <w:t xml:space="preserve"> that, although </w:t>
      </w:r>
      <w:r w:rsidR="00A924B8" w:rsidRPr="00A4764B">
        <w:rPr>
          <w:rFonts w:ascii="Tahoma" w:hAnsi="Tahoma" w:cs="Tahoma"/>
          <w:color w:val="000000"/>
          <w:sz w:val="24"/>
          <w:szCs w:val="24"/>
        </w:rPr>
        <w:t xml:space="preserve">the fact that no identification parade had been held and that the witness had identified the appellant when he was in the dock did not make his evidence on the point inadmissible, it did call for special directions from the jury. Thus – </w:t>
      </w:r>
    </w:p>
    <w:p w:rsidR="00683A26" w:rsidRDefault="00683A26" w:rsidP="00683A26">
      <w:pPr>
        <w:spacing w:after="0" w:line="240" w:lineRule="auto"/>
        <w:ind w:left="1440" w:right="1440"/>
        <w:jc w:val="both"/>
        <w:rPr>
          <w:rFonts w:ascii="Tahoma" w:hAnsi="Tahoma" w:cs="Tahoma"/>
          <w:color w:val="000000"/>
          <w:sz w:val="24"/>
          <w:szCs w:val="24"/>
        </w:rPr>
      </w:pPr>
    </w:p>
    <w:p w:rsidR="005042E0" w:rsidRDefault="00A924B8" w:rsidP="00A4764B">
      <w:pPr>
        <w:spacing w:line="240" w:lineRule="auto"/>
        <w:ind w:left="1440" w:right="1440"/>
        <w:jc w:val="both"/>
        <w:rPr>
          <w:rFonts w:ascii="Tahoma" w:hAnsi="Tahoma" w:cs="Tahoma"/>
          <w:sz w:val="24"/>
          <w:szCs w:val="24"/>
        </w:rPr>
      </w:pPr>
      <w:r w:rsidRPr="00A4764B">
        <w:rPr>
          <w:rFonts w:ascii="Tahoma" w:hAnsi="Tahoma" w:cs="Tahoma"/>
          <w:color w:val="000000"/>
          <w:sz w:val="24"/>
          <w:szCs w:val="24"/>
        </w:rPr>
        <w:t xml:space="preserve">“…the judge should have made it plain that the normal and proper practice was to hold an identification parade. He should have gone on to warn the jury of the dangers of identification without a parade and should have explained to them the potential advantage of an inconclusive parade to a defendant such as the appellant. For these reasons, he should have explained, this kind of evidence was undesirable in principle and the jury would require </w:t>
      </w:r>
      <w:proofErr w:type="gramStart"/>
      <w:r w:rsidRPr="00A4764B">
        <w:rPr>
          <w:rFonts w:ascii="Tahoma" w:hAnsi="Tahoma" w:cs="Tahoma"/>
          <w:color w:val="000000"/>
          <w:sz w:val="24"/>
          <w:szCs w:val="24"/>
        </w:rPr>
        <w:t>to approach</w:t>
      </w:r>
      <w:proofErr w:type="gramEnd"/>
      <w:r w:rsidRPr="00A4764B">
        <w:rPr>
          <w:rFonts w:ascii="Tahoma" w:hAnsi="Tahoma" w:cs="Tahoma"/>
          <w:color w:val="000000"/>
          <w:sz w:val="24"/>
          <w:szCs w:val="24"/>
        </w:rPr>
        <w:t xml:space="preserve"> it with great care</w:t>
      </w:r>
      <w:r w:rsidR="00A4764B" w:rsidRPr="00A4764B">
        <w:rPr>
          <w:rFonts w:ascii="Tahoma" w:hAnsi="Tahoma" w:cs="Tahoma"/>
          <w:color w:val="000000"/>
          <w:sz w:val="24"/>
          <w:szCs w:val="24"/>
        </w:rPr>
        <w:t>.”</w:t>
      </w:r>
      <w:r>
        <w:rPr>
          <w:rStyle w:val="apple-converted-space"/>
          <w:color w:val="000000"/>
          <w:sz w:val="27"/>
          <w:szCs w:val="27"/>
        </w:rPr>
        <w:t> </w:t>
      </w:r>
      <w:r w:rsidR="006D508C">
        <w:rPr>
          <w:rFonts w:ascii="Tahoma" w:hAnsi="Tahoma" w:cs="Tahoma"/>
          <w:color w:val="222222"/>
          <w:sz w:val="24"/>
          <w:szCs w:val="24"/>
          <w:shd w:val="clear" w:color="auto" w:fill="FFFFFF"/>
        </w:rPr>
        <w:t xml:space="preserve">  </w:t>
      </w:r>
      <w:r w:rsidR="005042E0" w:rsidRPr="00760FD5">
        <w:rPr>
          <w:rFonts w:ascii="Tahoma" w:hAnsi="Tahoma" w:cs="Tahoma"/>
          <w:sz w:val="24"/>
          <w:szCs w:val="24"/>
        </w:rPr>
        <w:t xml:space="preserve"> </w:t>
      </w:r>
    </w:p>
    <w:p w:rsidR="00305855" w:rsidRDefault="008321AE" w:rsidP="00683A26">
      <w:pPr>
        <w:tabs>
          <w:tab w:val="left" w:pos="9360"/>
        </w:tabs>
        <w:spacing w:line="480" w:lineRule="auto"/>
        <w:jc w:val="both"/>
        <w:rPr>
          <w:rFonts w:ascii="Tahoma" w:eastAsia="Times New Roman" w:hAnsi="Tahoma" w:cs="Tahoma"/>
          <w:color w:val="000000"/>
          <w:sz w:val="24"/>
          <w:szCs w:val="24"/>
        </w:rPr>
      </w:pPr>
      <w:r>
        <w:rPr>
          <w:rFonts w:ascii="Tahoma" w:hAnsi="Tahoma" w:cs="Tahoma"/>
          <w:sz w:val="24"/>
          <w:szCs w:val="24"/>
        </w:rPr>
        <w:lastRenderedPageBreak/>
        <w:t xml:space="preserve">8.   </w:t>
      </w:r>
      <w:r w:rsidR="00F10917">
        <w:rPr>
          <w:rFonts w:ascii="Tahoma" w:hAnsi="Tahoma" w:cs="Tahoma"/>
          <w:sz w:val="24"/>
          <w:szCs w:val="24"/>
        </w:rPr>
        <w:t xml:space="preserve">The Privy Council returned to the question in </w:t>
      </w:r>
      <w:proofErr w:type="spellStart"/>
      <w:r w:rsidR="00F10917" w:rsidRPr="00F10917">
        <w:rPr>
          <w:rFonts w:ascii="Tahoma" w:hAnsi="Tahoma" w:cs="Tahoma"/>
          <w:b/>
          <w:sz w:val="24"/>
          <w:szCs w:val="24"/>
        </w:rPr>
        <w:t>Pipersburgh</w:t>
      </w:r>
      <w:proofErr w:type="spellEnd"/>
      <w:r w:rsidR="00F10917" w:rsidRPr="00F10917">
        <w:rPr>
          <w:rFonts w:ascii="Tahoma" w:hAnsi="Tahoma" w:cs="Tahoma"/>
          <w:b/>
          <w:sz w:val="24"/>
          <w:szCs w:val="24"/>
        </w:rPr>
        <w:t xml:space="preserve"> &amp; </w:t>
      </w:r>
      <w:proofErr w:type="spellStart"/>
      <w:r w:rsidR="00F10917" w:rsidRPr="00F10917">
        <w:rPr>
          <w:rFonts w:ascii="Tahoma" w:hAnsi="Tahoma" w:cs="Tahoma"/>
          <w:b/>
          <w:sz w:val="24"/>
          <w:szCs w:val="24"/>
        </w:rPr>
        <w:t>Robateau</w:t>
      </w:r>
      <w:proofErr w:type="spellEnd"/>
      <w:r w:rsidR="00F10917" w:rsidRPr="00F10917">
        <w:rPr>
          <w:rFonts w:ascii="Tahoma" w:hAnsi="Tahoma" w:cs="Tahoma"/>
          <w:b/>
          <w:sz w:val="24"/>
          <w:szCs w:val="24"/>
        </w:rPr>
        <w:t xml:space="preserve"> v R</w:t>
      </w:r>
      <w:r w:rsidR="00F10917" w:rsidRPr="00F10917">
        <w:rPr>
          <w:rStyle w:val="FootnoteReference"/>
          <w:rFonts w:ascii="Tahoma" w:hAnsi="Tahoma" w:cs="Tahoma"/>
          <w:sz w:val="24"/>
          <w:szCs w:val="24"/>
        </w:rPr>
        <w:footnoteReference w:id="14"/>
      </w:r>
      <w:r w:rsidR="00B47EC3" w:rsidRPr="00B47EC3">
        <w:rPr>
          <w:rFonts w:ascii="Tahoma" w:hAnsi="Tahoma" w:cs="Tahoma"/>
          <w:sz w:val="24"/>
          <w:szCs w:val="24"/>
        </w:rPr>
        <w:t>, a</w:t>
      </w:r>
      <w:r w:rsidR="00B47EC3">
        <w:rPr>
          <w:rFonts w:ascii="Tahoma" w:hAnsi="Tahoma" w:cs="Tahoma"/>
          <w:sz w:val="24"/>
          <w:szCs w:val="24"/>
        </w:rPr>
        <w:t>lso a case of disputed identification from Belize</w:t>
      </w:r>
      <w:r w:rsidR="00B47EC3" w:rsidRPr="00B47EC3">
        <w:rPr>
          <w:rFonts w:ascii="Tahoma" w:hAnsi="Tahoma" w:cs="Tahoma"/>
          <w:sz w:val="24"/>
          <w:szCs w:val="24"/>
        </w:rPr>
        <w:t xml:space="preserve"> </w:t>
      </w:r>
      <w:r w:rsidR="00B47EC3">
        <w:rPr>
          <w:rFonts w:ascii="Tahoma" w:hAnsi="Tahoma" w:cs="Tahoma"/>
          <w:sz w:val="24"/>
          <w:szCs w:val="24"/>
        </w:rPr>
        <w:t xml:space="preserve">in which no identification parade had been held. </w:t>
      </w:r>
      <w:r w:rsidR="00305855">
        <w:rPr>
          <w:rFonts w:ascii="Tahoma" w:hAnsi="Tahoma" w:cs="Tahoma"/>
          <w:sz w:val="24"/>
          <w:szCs w:val="24"/>
        </w:rPr>
        <w:t>T</w:t>
      </w:r>
      <w:r w:rsidR="00F10917">
        <w:rPr>
          <w:rFonts w:ascii="Tahoma" w:hAnsi="Tahoma" w:cs="Tahoma"/>
          <w:sz w:val="24"/>
          <w:szCs w:val="24"/>
        </w:rPr>
        <w:t xml:space="preserve">he Court of Appeal </w:t>
      </w:r>
      <w:r w:rsidR="00305855">
        <w:rPr>
          <w:rFonts w:ascii="Tahoma" w:hAnsi="Tahoma" w:cs="Tahoma"/>
          <w:sz w:val="24"/>
          <w:szCs w:val="24"/>
        </w:rPr>
        <w:t xml:space="preserve">acknowledged </w:t>
      </w:r>
      <w:r w:rsidR="00F10917">
        <w:rPr>
          <w:rFonts w:ascii="Tahoma" w:hAnsi="Tahoma" w:cs="Tahoma"/>
          <w:sz w:val="24"/>
          <w:szCs w:val="24"/>
        </w:rPr>
        <w:t>that the trial judge</w:t>
      </w:r>
      <w:r w:rsidR="00B47EC3">
        <w:rPr>
          <w:rFonts w:ascii="Tahoma" w:hAnsi="Tahoma" w:cs="Tahoma"/>
          <w:sz w:val="24"/>
          <w:szCs w:val="24"/>
        </w:rPr>
        <w:t xml:space="preserve">, despite having pointed out the desirability of an identification parade, </w:t>
      </w:r>
      <w:r w:rsidR="00F10917">
        <w:rPr>
          <w:rFonts w:ascii="Tahoma" w:hAnsi="Tahoma" w:cs="Tahoma"/>
          <w:sz w:val="24"/>
          <w:szCs w:val="24"/>
        </w:rPr>
        <w:t>had failed to give any directions to the jury a</w:t>
      </w:r>
      <w:r w:rsidR="00B47EC3">
        <w:rPr>
          <w:rFonts w:ascii="Tahoma" w:hAnsi="Tahoma" w:cs="Tahoma"/>
          <w:sz w:val="24"/>
          <w:szCs w:val="24"/>
        </w:rPr>
        <w:t xml:space="preserve">long the lines recommended by the Board in </w:t>
      </w:r>
      <w:r w:rsidR="00B47EC3" w:rsidRPr="00A4764B">
        <w:rPr>
          <w:rFonts w:ascii="Tahoma" w:hAnsi="Tahoma" w:cs="Tahoma"/>
          <w:b/>
          <w:color w:val="222222"/>
          <w:sz w:val="24"/>
          <w:szCs w:val="24"/>
          <w:shd w:val="clear" w:color="auto" w:fill="FFFFFF"/>
        </w:rPr>
        <w:t>Pop</w:t>
      </w:r>
      <w:r w:rsidR="00B47EC3" w:rsidRPr="00B47EC3">
        <w:rPr>
          <w:rFonts w:ascii="Tahoma" w:hAnsi="Tahoma" w:cs="Tahoma"/>
          <w:sz w:val="24"/>
          <w:szCs w:val="24"/>
        </w:rPr>
        <w:t>.</w:t>
      </w:r>
      <w:r w:rsidR="00B47EC3">
        <w:rPr>
          <w:rFonts w:ascii="Tahoma" w:hAnsi="Tahoma" w:cs="Tahoma"/>
          <w:b/>
          <w:sz w:val="24"/>
          <w:szCs w:val="24"/>
        </w:rPr>
        <w:t xml:space="preserve"> </w:t>
      </w:r>
      <w:r w:rsidR="00B47EC3" w:rsidRPr="00B47EC3">
        <w:rPr>
          <w:rFonts w:ascii="Tahoma" w:hAnsi="Tahoma" w:cs="Tahoma"/>
          <w:sz w:val="24"/>
          <w:szCs w:val="24"/>
        </w:rPr>
        <w:t xml:space="preserve">However, </w:t>
      </w:r>
      <w:r w:rsidR="00305855">
        <w:rPr>
          <w:rFonts w:ascii="Tahoma" w:hAnsi="Tahoma" w:cs="Tahoma"/>
          <w:sz w:val="24"/>
          <w:szCs w:val="24"/>
        </w:rPr>
        <w:t xml:space="preserve">the court </w:t>
      </w:r>
      <w:r w:rsidR="00F10917">
        <w:rPr>
          <w:rFonts w:ascii="Tahoma" w:hAnsi="Tahoma" w:cs="Tahoma"/>
          <w:sz w:val="24"/>
          <w:szCs w:val="24"/>
        </w:rPr>
        <w:t>considered that</w:t>
      </w:r>
      <w:r w:rsidR="00305855">
        <w:rPr>
          <w:rFonts w:ascii="Tahoma" w:hAnsi="Tahoma" w:cs="Tahoma"/>
          <w:sz w:val="24"/>
          <w:szCs w:val="24"/>
        </w:rPr>
        <w:t>, because the judge had given</w:t>
      </w:r>
      <w:r w:rsidR="007C1FD8">
        <w:rPr>
          <w:rFonts w:ascii="Tahoma" w:hAnsi="Tahoma" w:cs="Tahoma"/>
          <w:sz w:val="24"/>
          <w:szCs w:val="24"/>
        </w:rPr>
        <w:t xml:space="preserve"> generally satisfactory</w:t>
      </w:r>
      <w:r w:rsidR="00305855">
        <w:rPr>
          <w:rFonts w:ascii="Tahoma" w:hAnsi="Tahoma" w:cs="Tahoma"/>
          <w:sz w:val="24"/>
          <w:szCs w:val="24"/>
        </w:rPr>
        <w:t xml:space="preserve"> </w:t>
      </w:r>
      <w:r w:rsidR="00305855" w:rsidRPr="00305855">
        <w:rPr>
          <w:rFonts w:ascii="Tahoma" w:hAnsi="Tahoma" w:cs="Tahoma"/>
          <w:b/>
          <w:sz w:val="24"/>
          <w:szCs w:val="24"/>
        </w:rPr>
        <w:t>Turnbull</w:t>
      </w:r>
      <w:r w:rsidR="007C1FD8">
        <w:rPr>
          <w:rFonts w:ascii="Tahoma" w:hAnsi="Tahoma" w:cs="Tahoma"/>
          <w:sz w:val="24"/>
          <w:szCs w:val="24"/>
        </w:rPr>
        <w:t xml:space="preserve"> directions</w:t>
      </w:r>
      <w:r w:rsidR="00305855">
        <w:rPr>
          <w:rFonts w:ascii="Tahoma" w:hAnsi="Tahoma" w:cs="Tahoma"/>
          <w:sz w:val="24"/>
          <w:szCs w:val="24"/>
        </w:rPr>
        <w:t xml:space="preserve">, there had been no miscarriage of justice. The Board disagreed, </w:t>
      </w:r>
      <w:r w:rsidR="00D50CFE">
        <w:rPr>
          <w:rFonts w:ascii="Tahoma" w:hAnsi="Tahoma" w:cs="Tahoma"/>
          <w:sz w:val="24"/>
          <w:szCs w:val="24"/>
        </w:rPr>
        <w:t>point</w:t>
      </w:r>
      <w:r w:rsidR="00305855">
        <w:rPr>
          <w:rFonts w:ascii="Tahoma" w:hAnsi="Tahoma" w:cs="Tahoma"/>
          <w:sz w:val="24"/>
          <w:szCs w:val="24"/>
        </w:rPr>
        <w:t xml:space="preserve">ing </w:t>
      </w:r>
      <w:r w:rsidR="00D50CFE">
        <w:rPr>
          <w:rFonts w:ascii="Tahoma" w:hAnsi="Tahoma" w:cs="Tahoma"/>
          <w:sz w:val="24"/>
          <w:szCs w:val="24"/>
        </w:rPr>
        <w:t xml:space="preserve">out </w:t>
      </w:r>
      <w:r w:rsidR="00305855">
        <w:rPr>
          <w:rFonts w:ascii="Tahoma" w:hAnsi="Tahoma" w:cs="Tahoma"/>
          <w:sz w:val="24"/>
          <w:szCs w:val="24"/>
        </w:rPr>
        <w:t>(at para. [15]) that it was</w:t>
      </w:r>
      <w:r w:rsidR="00305855" w:rsidRPr="00305855">
        <w:rPr>
          <w:rFonts w:ascii="Times New Roman" w:eastAsia="Times New Roman" w:hAnsi="Times New Roman" w:cs="Times New Roman"/>
          <w:color w:val="000000"/>
          <w:sz w:val="27"/>
          <w:szCs w:val="27"/>
        </w:rPr>
        <w:t xml:space="preserve"> </w:t>
      </w:r>
      <w:r w:rsidR="00305855" w:rsidRPr="00305855">
        <w:rPr>
          <w:rFonts w:ascii="Tahoma" w:eastAsia="Times New Roman" w:hAnsi="Tahoma" w:cs="Tahoma"/>
          <w:color w:val="000000"/>
          <w:sz w:val="24"/>
          <w:szCs w:val="24"/>
        </w:rPr>
        <w:t xml:space="preserve">necessary to distinguish between general directions along </w:t>
      </w:r>
      <w:r w:rsidR="00305855" w:rsidRPr="00305855">
        <w:rPr>
          <w:rFonts w:ascii="Tahoma" w:eastAsia="Times New Roman" w:hAnsi="Tahoma" w:cs="Tahoma"/>
          <w:b/>
          <w:color w:val="000000"/>
          <w:sz w:val="24"/>
          <w:szCs w:val="24"/>
        </w:rPr>
        <w:t>Turnbull</w:t>
      </w:r>
      <w:r w:rsidR="00305855" w:rsidRPr="00305855">
        <w:rPr>
          <w:rFonts w:ascii="Tahoma" w:eastAsia="Times New Roman" w:hAnsi="Tahoma" w:cs="Tahoma"/>
          <w:color w:val="000000"/>
          <w:sz w:val="24"/>
          <w:szCs w:val="24"/>
        </w:rPr>
        <w:t xml:space="preserve"> lines and directions on the dangers of dock identification evidence:</w:t>
      </w:r>
    </w:p>
    <w:p w:rsidR="00305855" w:rsidRDefault="00305855" w:rsidP="00D50CFE">
      <w:pPr>
        <w:spacing w:before="100" w:beforeAutospacing="1" w:after="100" w:afterAutospacing="1" w:line="240" w:lineRule="auto"/>
        <w:ind w:left="1440" w:right="1440"/>
        <w:jc w:val="both"/>
        <w:rPr>
          <w:rFonts w:ascii="Tahoma" w:eastAsia="Times New Roman" w:hAnsi="Tahoma" w:cs="Tahoma"/>
          <w:color w:val="000000"/>
          <w:sz w:val="24"/>
          <w:szCs w:val="24"/>
        </w:rPr>
      </w:pPr>
      <w:r w:rsidRPr="00305855">
        <w:rPr>
          <w:rFonts w:ascii="Tahoma" w:eastAsia="Times New Roman" w:hAnsi="Tahoma" w:cs="Tahoma"/>
          <w:color w:val="000000"/>
          <w:sz w:val="24"/>
          <w:szCs w:val="24"/>
        </w:rPr>
        <w:t xml:space="preserve">“In other words, a judge does not discharge his duty, to give proper directions on the special dangers of </w:t>
      </w:r>
      <w:proofErr w:type="gramStart"/>
      <w:r w:rsidRPr="00305855">
        <w:rPr>
          <w:rFonts w:ascii="Tahoma" w:eastAsia="Times New Roman" w:hAnsi="Tahoma" w:cs="Tahoma"/>
          <w:color w:val="000000"/>
          <w:sz w:val="24"/>
          <w:szCs w:val="24"/>
        </w:rPr>
        <w:t>a</w:t>
      </w:r>
      <w:r w:rsidR="00D50CFE">
        <w:rPr>
          <w:rFonts w:ascii="Tahoma" w:eastAsia="Times New Roman" w:hAnsi="Tahoma" w:cs="Tahoma"/>
          <w:color w:val="000000"/>
          <w:sz w:val="24"/>
          <w:szCs w:val="24"/>
        </w:rPr>
        <w:t xml:space="preserve"> </w:t>
      </w:r>
      <w:r w:rsidRPr="00305855">
        <w:rPr>
          <w:rFonts w:ascii="Tahoma" w:eastAsia="Times New Roman" w:hAnsi="Tahoma" w:cs="Tahoma"/>
          <w:color w:val="000000"/>
          <w:sz w:val="24"/>
          <w:szCs w:val="24"/>
        </w:rPr>
        <w:t>dock</w:t>
      </w:r>
      <w:proofErr w:type="gramEnd"/>
      <w:r w:rsidRPr="00305855">
        <w:rPr>
          <w:rFonts w:ascii="Tahoma" w:eastAsia="Times New Roman" w:hAnsi="Tahoma" w:cs="Tahoma"/>
          <w:color w:val="000000"/>
          <w:sz w:val="24"/>
          <w:szCs w:val="24"/>
        </w:rPr>
        <w:t xml:space="preserve"> identification without a prior identification at an identification parade, by giving appropriate directions on the approach to be adopted to eyewitness identification evidence in general. Though related, the issues are different and, where they both arise, the judge must address both of them. So, in the present case, even assuming that the judge gave </w:t>
      </w:r>
      <w:proofErr w:type="spellStart"/>
      <w:r w:rsidRPr="00305855">
        <w:rPr>
          <w:rFonts w:ascii="Tahoma" w:eastAsia="Times New Roman" w:hAnsi="Tahoma" w:cs="Tahoma"/>
          <w:color w:val="000000"/>
          <w:sz w:val="24"/>
          <w:szCs w:val="24"/>
        </w:rPr>
        <w:t>adequate</w:t>
      </w:r>
      <w:r w:rsidRPr="00305855">
        <w:rPr>
          <w:rFonts w:ascii="Tahoma" w:eastAsia="Times New Roman" w:hAnsi="Tahoma" w:cs="Tahoma"/>
          <w:i/>
          <w:iCs/>
          <w:color w:val="000000"/>
          <w:sz w:val="24"/>
          <w:szCs w:val="24"/>
        </w:rPr>
        <w:t>Turnbull</w:t>
      </w:r>
      <w:proofErr w:type="spellEnd"/>
      <w:r w:rsidRPr="00305855">
        <w:rPr>
          <w:rFonts w:ascii="Tahoma" w:eastAsia="Times New Roman" w:hAnsi="Tahoma" w:cs="Tahoma"/>
          <w:i/>
          <w:iCs/>
          <w:color w:val="000000"/>
          <w:sz w:val="24"/>
          <w:szCs w:val="24"/>
        </w:rPr>
        <w:t> </w:t>
      </w:r>
      <w:r w:rsidRPr="00305855">
        <w:rPr>
          <w:rFonts w:ascii="Tahoma" w:eastAsia="Times New Roman" w:hAnsi="Tahoma" w:cs="Tahoma"/>
          <w:color w:val="000000"/>
          <w:sz w:val="24"/>
          <w:szCs w:val="24"/>
        </w:rPr>
        <w:t>directions on the difficulties inherent in all identification evidence, this does not mean that, taken as a whole, his directions were adequate where the identifications were dock identifications without a previous identification parade.</w:t>
      </w:r>
      <w:r w:rsidR="00D50CFE">
        <w:rPr>
          <w:rFonts w:ascii="Tahoma" w:eastAsia="Times New Roman" w:hAnsi="Tahoma" w:cs="Tahoma"/>
          <w:color w:val="000000"/>
          <w:sz w:val="24"/>
          <w:szCs w:val="24"/>
        </w:rPr>
        <w:t>”</w:t>
      </w:r>
    </w:p>
    <w:p w:rsidR="00D50CFE" w:rsidRDefault="00D50CFE" w:rsidP="00B16B28">
      <w:pPr>
        <w:spacing w:before="100" w:beforeAutospacing="1" w:after="0" w:line="240" w:lineRule="auto"/>
        <w:ind w:left="1440" w:right="1440"/>
        <w:jc w:val="both"/>
        <w:rPr>
          <w:rFonts w:ascii="Tahoma" w:eastAsia="Times New Roman" w:hAnsi="Tahoma" w:cs="Tahoma"/>
          <w:color w:val="000000"/>
          <w:sz w:val="24"/>
          <w:szCs w:val="24"/>
        </w:rPr>
      </w:pPr>
    </w:p>
    <w:p w:rsidR="00D36E8F" w:rsidRDefault="00D36E8F" w:rsidP="00D36E8F">
      <w:pPr>
        <w:tabs>
          <w:tab w:val="left" w:pos="9360"/>
        </w:tabs>
        <w:spacing w:after="0" w:line="480" w:lineRule="auto"/>
        <w:jc w:val="both"/>
        <w:rPr>
          <w:rFonts w:ascii="Tahoma" w:hAnsi="Tahoma" w:cs="Tahoma"/>
          <w:color w:val="000000"/>
          <w:sz w:val="24"/>
          <w:szCs w:val="24"/>
        </w:rPr>
      </w:pPr>
      <w:bookmarkStart w:id="1" w:name="para17"/>
      <w:r>
        <w:rPr>
          <w:rFonts w:ascii="Tahoma" w:hAnsi="Tahoma" w:cs="Tahoma"/>
          <w:color w:val="000000"/>
          <w:sz w:val="24"/>
          <w:szCs w:val="24"/>
        </w:rPr>
        <w:t>9.   In this case, the Board accordingly held (at para. [17]) that the appeal had to be allowed:</w:t>
      </w:r>
    </w:p>
    <w:p w:rsidR="00D36E8F" w:rsidRDefault="00D36E8F" w:rsidP="00D36E8F">
      <w:pPr>
        <w:tabs>
          <w:tab w:val="left" w:pos="9360"/>
        </w:tabs>
        <w:spacing w:after="0" w:line="240" w:lineRule="auto"/>
        <w:jc w:val="both"/>
        <w:rPr>
          <w:rFonts w:ascii="Tahoma" w:hAnsi="Tahoma" w:cs="Tahoma"/>
          <w:color w:val="000000"/>
          <w:sz w:val="24"/>
          <w:szCs w:val="24"/>
        </w:rPr>
      </w:pPr>
    </w:p>
    <w:p w:rsidR="008321AE" w:rsidRDefault="00D36E8F" w:rsidP="00D50CFE">
      <w:pPr>
        <w:tabs>
          <w:tab w:val="left" w:pos="7920"/>
        </w:tabs>
        <w:spacing w:line="240" w:lineRule="auto"/>
        <w:ind w:left="1440" w:right="1440"/>
        <w:jc w:val="both"/>
        <w:rPr>
          <w:rFonts w:ascii="Tahoma" w:hAnsi="Tahoma" w:cs="Tahoma"/>
          <w:color w:val="000000"/>
          <w:sz w:val="24"/>
          <w:szCs w:val="24"/>
        </w:rPr>
      </w:pPr>
      <w:r w:rsidRPr="00D50CFE">
        <w:rPr>
          <w:rFonts w:ascii="Tahoma" w:hAnsi="Tahoma" w:cs="Tahoma"/>
          <w:color w:val="000000"/>
          <w:sz w:val="24"/>
          <w:szCs w:val="24"/>
        </w:rPr>
        <w:t xml:space="preserve"> </w:t>
      </w:r>
      <w:r w:rsidR="00D50CFE" w:rsidRPr="00D50CFE">
        <w:rPr>
          <w:rFonts w:ascii="Tahoma" w:hAnsi="Tahoma" w:cs="Tahoma"/>
          <w:color w:val="000000"/>
          <w:sz w:val="24"/>
          <w:szCs w:val="24"/>
        </w:rPr>
        <w:t>“…it may well be that the judge bemoaned the fact that no identification parade had been held and pointed out the advantages of such a parade. But, despite what the Board had said in</w:t>
      </w:r>
      <w:r w:rsidR="00D50CFE" w:rsidRPr="00D50CFE">
        <w:rPr>
          <w:rStyle w:val="apple-converted-space"/>
          <w:rFonts w:ascii="Tahoma" w:hAnsi="Tahoma" w:cs="Tahoma"/>
          <w:color w:val="000000"/>
          <w:sz w:val="24"/>
          <w:szCs w:val="24"/>
        </w:rPr>
        <w:t> </w:t>
      </w:r>
      <w:r w:rsidR="00D50CFE" w:rsidRPr="00D50CFE">
        <w:rPr>
          <w:rFonts w:ascii="Tahoma" w:hAnsi="Tahoma" w:cs="Tahoma"/>
          <w:i/>
          <w:iCs/>
          <w:color w:val="000000"/>
          <w:sz w:val="24"/>
          <w:szCs w:val="24"/>
        </w:rPr>
        <w:t>Pop</w:t>
      </w:r>
      <w:r w:rsidR="00D50CFE" w:rsidRPr="00D50CFE">
        <w:rPr>
          <w:rFonts w:ascii="Tahoma" w:hAnsi="Tahoma" w:cs="Tahoma"/>
          <w:color w:val="000000"/>
          <w:sz w:val="24"/>
          <w:szCs w:val="24"/>
        </w:rPr>
        <w:t xml:space="preserve">, he did not point out that </w:t>
      </w:r>
      <w:proofErr w:type="spellStart"/>
      <w:r w:rsidR="00D50CFE" w:rsidRPr="00D50CFE">
        <w:rPr>
          <w:rFonts w:ascii="Tahoma" w:hAnsi="Tahoma" w:cs="Tahoma"/>
          <w:color w:val="000000"/>
          <w:sz w:val="24"/>
          <w:szCs w:val="24"/>
        </w:rPr>
        <w:t>Mr</w:t>
      </w:r>
      <w:proofErr w:type="spellEnd"/>
      <w:r w:rsidR="00D50CFE" w:rsidRPr="00D50CFE">
        <w:rPr>
          <w:rFonts w:ascii="Tahoma" w:hAnsi="Tahoma" w:cs="Tahoma"/>
          <w:color w:val="000000"/>
          <w:sz w:val="24"/>
          <w:szCs w:val="24"/>
        </w:rPr>
        <w:t xml:space="preserve"> </w:t>
      </w:r>
      <w:proofErr w:type="spellStart"/>
      <w:r w:rsidR="00D50CFE" w:rsidRPr="00D50CFE">
        <w:rPr>
          <w:rFonts w:ascii="Tahoma" w:hAnsi="Tahoma" w:cs="Tahoma"/>
          <w:color w:val="000000"/>
          <w:sz w:val="24"/>
          <w:szCs w:val="24"/>
        </w:rPr>
        <w:t>Robateau</w:t>
      </w:r>
      <w:proofErr w:type="spellEnd"/>
      <w:r w:rsidR="00D50CFE" w:rsidRPr="00D50CFE">
        <w:rPr>
          <w:rFonts w:ascii="Tahoma" w:hAnsi="Tahoma" w:cs="Tahoma"/>
          <w:color w:val="000000"/>
          <w:sz w:val="24"/>
          <w:szCs w:val="24"/>
        </w:rPr>
        <w:t xml:space="preserve"> had </w:t>
      </w:r>
      <w:r w:rsidR="00D50CFE" w:rsidRPr="00D50CFE">
        <w:rPr>
          <w:rFonts w:ascii="Tahoma" w:hAnsi="Tahoma" w:cs="Tahoma"/>
          <w:color w:val="000000"/>
          <w:sz w:val="24"/>
          <w:szCs w:val="24"/>
        </w:rPr>
        <w:lastRenderedPageBreak/>
        <w:t xml:space="preserve">thereby lost the potential advantage of an inconclusive parade. Moreover, while giving directions on the care that needs to be taken with identification evidence in general, the judge did not warn the jury of the distinct and positive dangers of </w:t>
      </w:r>
      <w:proofErr w:type="gramStart"/>
      <w:r w:rsidR="00D50CFE" w:rsidRPr="00D50CFE">
        <w:rPr>
          <w:rFonts w:ascii="Tahoma" w:hAnsi="Tahoma" w:cs="Tahoma"/>
          <w:color w:val="000000"/>
          <w:sz w:val="24"/>
          <w:szCs w:val="24"/>
        </w:rPr>
        <w:t>a dock</w:t>
      </w:r>
      <w:proofErr w:type="gramEnd"/>
      <w:r w:rsidR="00D50CFE" w:rsidRPr="00D50CFE">
        <w:rPr>
          <w:rFonts w:ascii="Tahoma" w:hAnsi="Tahoma" w:cs="Tahoma"/>
          <w:color w:val="000000"/>
          <w:sz w:val="24"/>
          <w:szCs w:val="24"/>
        </w:rPr>
        <w:t xml:space="preserve"> identification without a previous identification parade. In particular, he did not draw their attention to the risk that the witnesses might have been influenced to make their identifications by seeing the appellants in the dock. And, perhaps most importantly, even if the judge's directions would have ensured that the jury appreciated that this type of identification evidence was undesirable in principle, he did not explain that they would require </w:t>
      </w:r>
      <w:proofErr w:type="gramStart"/>
      <w:r w:rsidR="00D50CFE" w:rsidRPr="00D50CFE">
        <w:rPr>
          <w:rFonts w:ascii="Tahoma" w:hAnsi="Tahoma" w:cs="Tahoma"/>
          <w:color w:val="000000"/>
          <w:sz w:val="24"/>
          <w:szCs w:val="24"/>
        </w:rPr>
        <w:t>to approach</w:t>
      </w:r>
      <w:proofErr w:type="gramEnd"/>
      <w:r w:rsidR="00D50CFE" w:rsidRPr="00D50CFE">
        <w:rPr>
          <w:rFonts w:ascii="Tahoma" w:hAnsi="Tahoma" w:cs="Tahoma"/>
          <w:color w:val="000000"/>
          <w:sz w:val="24"/>
          <w:szCs w:val="24"/>
        </w:rPr>
        <w:t xml:space="preserve"> that evidence with great care.</w:t>
      </w:r>
      <w:bookmarkEnd w:id="1"/>
      <w:r w:rsidR="00D50CFE">
        <w:rPr>
          <w:rFonts w:ascii="Tahoma" w:hAnsi="Tahoma" w:cs="Tahoma"/>
          <w:color w:val="000000"/>
          <w:sz w:val="24"/>
          <w:szCs w:val="24"/>
        </w:rPr>
        <w:t>”</w:t>
      </w:r>
    </w:p>
    <w:p w:rsidR="00E57890" w:rsidRDefault="00E57890" w:rsidP="00E57890">
      <w:pPr>
        <w:tabs>
          <w:tab w:val="left" w:pos="7920"/>
        </w:tabs>
        <w:spacing w:after="0" w:line="240" w:lineRule="auto"/>
        <w:ind w:right="1440"/>
        <w:jc w:val="both"/>
        <w:rPr>
          <w:rFonts w:ascii="Tahoma" w:hAnsi="Tahoma" w:cs="Tahoma"/>
          <w:color w:val="000000"/>
          <w:sz w:val="24"/>
          <w:szCs w:val="24"/>
        </w:rPr>
      </w:pPr>
    </w:p>
    <w:p w:rsidR="00B6658A" w:rsidRDefault="00E57890" w:rsidP="00B6658A">
      <w:pPr>
        <w:tabs>
          <w:tab w:val="left" w:pos="9360"/>
        </w:tabs>
        <w:spacing w:line="480" w:lineRule="auto"/>
        <w:jc w:val="both"/>
        <w:rPr>
          <w:rFonts w:ascii="Tahoma" w:eastAsia="Times New Roman" w:hAnsi="Tahoma" w:cs="Tahoma"/>
          <w:color w:val="000000"/>
          <w:sz w:val="24"/>
          <w:szCs w:val="24"/>
        </w:rPr>
      </w:pPr>
      <w:r>
        <w:rPr>
          <w:rFonts w:ascii="Tahoma" w:hAnsi="Tahoma" w:cs="Tahoma"/>
          <w:color w:val="000000"/>
          <w:sz w:val="24"/>
          <w:szCs w:val="24"/>
        </w:rPr>
        <w:t xml:space="preserve">10.  </w:t>
      </w:r>
      <w:bookmarkStart w:id="2" w:name="para15"/>
      <w:r w:rsidR="00B6658A">
        <w:rPr>
          <w:rFonts w:ascii="Tahoma" w:hAnsi="Tahoma" w:cs="Tahoma"/>
          <w:color w:val="000000"/>
          <w:sz w:val="24"/>
          <w:szCs w:val="24"/>
        </w:rPr>
        <w:t xml:space="preserve"> These decisions therefore proceed on the basis that </w:t>
      </w:r>
      <w:proofErr w:type="gramStart"/>
      <w:r w:rsidR="00B6658A">
        <w:rPr>
          <w:rFonts w:ascii="Tahoma" w:hAnsi="Tahoma" w:cs="Tahoma"/>
          <w:color w:val="000000"/>
          <w:sz w:val="24"/>
          <w:szCs w:val="24"/>
        </w:rPr>
        <w:t>a dock</w:t>
      </w:r>
      <w:proofErr w:type="gramEnd"/>
      <w:r w:rsidR="00B6658A">
        <w:rPr>
          <w:rFonts w:ascii="Tahoma" w:hAnsi="Tahoma" w:cs="Tahoma"/>
          <w:color w:val="000000"/>
          <w:sz w:val="24"/>
          <w:szCs w:val="24"/>
        </w:rPr>
        <w:t xml:space="preserve"> identification without a previous identification parade is dangerous and undesirable. The advantages of an identification parade are of course well known and generally accepted. Among them </w:t>
      </w:r>
      <w:r w:rsidR="00D6085F">
        <w:rPr>
          <w:rFonts w:ascii="Tahoma" w:hAnsi="Tahoma" w:cs="Tahoma"/>
          <w:color w:val="000000"/>
          <w:sz w:val="24"/>
          <w:szCs w:val="24"/>
        </w:rPr>
        <w:t xml:space="preserve">is the </w:t>
      </w:r>
      <w:r w:rsidR="00E648DB">
        <w:rPr>
          <w:rFonts w:ascii="Tahoma" w:hAnsi="Tahoma" w:cs="Tahoma"/>
          <w:color w:val="000000"/>
          <w:sz w:val="24"/>
          <w:szCs w:val="24"/>
        </w:rPr>
        <w:t xml:space="preserve">important </w:t>
      </w:r>
      <w:r w:rsidR="00D6085F">
        <w:rPr>
          <w:rFonts w:ascii="Tahoma" w:hAnsi="Tahoma" w:cs="Tahoma"/>
          <w:color w:val="000000"/>
          <w:sz w:val="24"/>
          <w:szCs w:val="24"/>
        </w:rPr>
        <w:t>fact</w:t>
      </w:r>
      <w:r w:rsidR="00E648DB">
        <w:rPr>
          <w:rFonts w:ascii="Tahoma" w:hAnsi="Tahoma" w:cs="Tahoma"/>
          <w:color w:val="000000"/>
          <w:sz w:val="24"/>
          <w:szCs w:val="24"/>
        </w:rPr>
        <w:t>or</w:t>
      </w:r>
      <w:r w:rsidR="00B6658A">
        <w:rPr>
          <w:rFonts w:ascii="Tahoma" w:hAnsi="Tahoma" w:cs="Tahoma"/>
          <w:color w:val="000000"/>
          <w:sz w:val="24"/>
          <w:szCs w:val="24"/>
        </w:rPr>
        <w:t xml:space="preserve"> that </w:t>
      </w:r>
      <w:bookmarkEnd w:id="2"/>
      <w:r w:rsidR="00B6658A" w:rsidRPr="00B6658A">
        <w:rPr>
          <w:rFonts w:ascii="Tahoma" w:hAnsi="Tahoma" w:cs="Tahoma"/>
          <w:color w:val="000000"/>
          <w:sz w:val="24"/>
          <w:szCs w:val="24"/>
        </w:rPr>
        <w:t>a</w:t>
      </w:r>
      <w:r w:rsidRPr="00B6658A">
        <w:rPr>
          <w:rFonts w:ascii="Tahoma" w:eastAsia="Times New Roman" w:hAnsi="Tahoma" w:cs="Tahoma"/>
          <w:color w:val="000000"/>
          <w:sz w:val="24"/>
          <w:szCs w:val="24"/>
        </w:rPr>
        <w:t xml:space="preserve">n identification parade is usually held much nearer the time of the offence when the witness's recollection is </w:t>
      </w:r>
      <w:proofErr w:type="gramStart"/>
      <w:r w:rsidRPr="00B6658A">
        <w:rPr>
          <w:rFonts w:ascii="Tahoma" w:eastAsia="Times New Roman" w:hAnsi="Tahoma" w:cs="Tahoma"/>
          <w:color w:val="000000"/>
          <w:sz w:val="24"/>
          <w:szCs w:val="24"/>
        </w:rPr>
        <w:t>fresher.</w:t>
      </w:r>
      <w:proofErr w:type="gramEnd"/>
      <w:r w:rsidRPr="00B6658A">
        <w:rPr>
          <w:rFonts w:ascii="Tahoma" w:eastAsia="Times New Roman" w:hAnsi="Tahoma" w:cs="Tahoma"/>
          <w:color w:val="000000"/>
          <w:sz w:val="24"/>
          <w:szCs w:val="24"/>
        </w:rPr>
        <w:t xml:space="preserve"> </w:t>
      </w:r>
      <w:r w:rsidR="00B6658A" w:rsidRPr="00B6658A">
        <w:rPr>
          <w:rFonts w:ascii="Tahoma" w:eastAsia="Times New Roman" w:hAnsi="Tahoma" w:cs="Tahoma"/>
          <w:color w:val="000000"/>
          <w:sz w:val="24"/>
          <w:szCs w:val="24"/>
        </w:rPr>
        <w:t>In addition, “</w:t>
      </w:r>
      <w:r w:rsidRPr="00B6658A">
        <w:rPr>
          <w:rFonts w:ascii="Tahoma" w:eastAsia="Times New Roman" w:hAnsi="Tahoma" w:cs="Tahoma"/>
          <w:color w:val="000000"/>
          <w:sz w:val="24"/>
          <w:szCs w:val="24"/>
        </w:rPr>
        <w:t>placing the accused among a number of stand-ins of generally similar appearance provides a check on the accuracy of the witness's identification by reducing the risk that the witness is simply picking out someone who resembles the perpetrator</w:t>
      </w:r>
      <w:r w:rsidR="00B6658A" w:rsidRPr="00B6658A">
        <w:rPr>
          <w:rFonts w:ascii="Tahoma" w:eastAsia="Times New Roman" w:hAnsi="Tahoma" w:cs="Tahoma"/>
          <w:color w:val="000000"/>
          <w:sz w:val="24"/>
          <w:szCs w:val="24"/>
        </w:rPr>
        <w:t>”</w:t>
      </w:r>
      <w:r w:rsidR="00B6658A">
        <w:rPr>
          <w:rStyle w:val="FootnoteReference"/>
          <w:rFonts w:ascii="Tahoma" w:eastAsia="Times New Roman" w:hAnsi="Tahoma" w:cs="Tahoma"/>
          <w:color w:val="000000"/>
          <w:sz w:val="24"/>
          <w:szCs w:val="24"/>
        </w:rPr>
        <w:footnoteReference w:id="15"/>
      </w:r>
      <w:r w:rsidR="00D6085F">
        <w:rPr>
          <w:rFonts w:ascii="Tahoma" w:eastAsia="Times New Roman" w:hAnsi="Tahoma" w:cs="Tahoma"/>
          <w:color w:val="000000"/>
          <w:sz w:val="24"/>
          <w:szCs w:val="24"/>
        </w:rPr>
        <w:t xml:space="preserve">. This is to be contrasted with the usual circumstances of a dock identification, in which, when the witness is invited to identify the perpetrator </w:t>
      </w:r>
      <w:r w:rsidR="008D3115">
        <w:rPr>
          <w:rFonts w:ascii="Tahoma" w:eastAsia="Times New Roman" w:hAnsi="Tahoma" w:cs="Tahoma"/>
          <w:color w:val="000000"/>
          <w:sz w:val="24"/>
          <w:szCs w:val="24"/>
        </w:rPr>
        <w:t>i</w:t>
      </w:r>
      <w:r w:rsidR="00D6085F">
        <w:rPr>
          <w:rFonts w:ascii="Tahoma" w:eastAsia="Times New Roman" w:hAnsi="Tahoma" w:cs="Tahoma"/>
          <w:color w:val="000000"/>
          <w:sz w:val="24"/>
          <w:szCs w:val="24"/>
        </w:rPr>
        <w:t xml:space="preserve">n court, </w:t>
      </w:r>
      <w:r w:rsidR="00D6085F" w:rsidRPr="00D6085F">
        <w:rPr>
          <w:rFonts w:ascii="Tahoma" w:eastAsia="Times New Roman" w:hAnsi="Tahoma" w:cs="Tahoma"/>
          <w:color w:val="000000"/>
          <w:sz w:val="24"/>
          <w:szCs w:val="24"/>
        </w:rPr>
        <w:t>“there must be a considerable risk that his evidence will be influenced by seeing the accused sitting in the dock in this way</w:t>
      </w:r>
      <w:r w:rsidR="00D6085F">
        <w:rPr>
          <w:rStyle w:val="FootnoteReference"/>
          <w:rFonts w:ascii="Tahoma" w:eastAsia="Times New Roman" w:hAnsi="Tahoma" w:cs="Tahoma"/>
          <w:color w:val="000000"/>
          <w:sz w:val="24"/>
          <w:szCs w:val="24"/>
        </w:rPr>
        <w:footnoteReference w:id="16"/>
      </w:r>
      <w:r w:rsidR="00D6085F" w:rsidRPr="00D6085F">
        <w:rPr>
          <w:rFonts w:ascii="Tahoma" w:eastAsia="Times New Roman" w:hAnsi="Tahoma" w:cs="Tahoma"/>
          <w:color w:val="000000"/>
          <w:sz w:val="24"/>
          <w:szCs w:val="24"/>
        </w:rPr>
        <w:t>”.</w:t>
      </w:r>
    </w:p>
    <w:p w:rsidR="00D6085F" w:rsidRPr="00B6658A" w:rsidRDefault="00D6085F" w:rsidP="00B6658A">
      <w:pPr>
        <w:tabs>
          <w:tab w:val="left" w:pos="9360"/>
        </w:tabs>
        <w:spacing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11.   </w:t>
      </w:r>
      <w:r w:rsidR="00674CBE">
        <w:rPr>
          <w:rFonts w:ascii="Tahoma" w:eastAsia="Times New Roman" w:hAnsi="Tahoma" w:cs="Tahoma"/>
          <w:color w:val="000000"/>
          <w:sz w:val="24"/>
          <w:szCs w:val="24"/>
        </w:rPr>
        <w:t>However,</w:t>
      </w:r>
      <w:r w:rsidR="00BF6E03">
        <w:rPr>
          <w:rFonts w:ascii="Tahoma" w:eastAsia="Times New Roman" w:hAnsi="Tahoma" w:cs="Tahoma"/>
          <w:color w:val="000000"/>
          <w:sz w:val="24"/>
          <w:szCs w:val="24"/>
        </w:rPr>
        <w:t xml:space="preserve"> despite general acceptance of the utility of an identification parade, the traditional view has tended to restrict the necessity for a parade to cases in which the </w:t>
      </w:r>
      <w:r w:rsidR="00BF6E03">
        <w:rPr>
          <w:rFonts w:ascii="Tahoma" w:eastAsia="Times New Roman" w:hAnsi="Tahoma" w:cs="Tahoma"/>
          <w:color w:val="000000"/>
          <w:sz w:val="24"/>
          <w:szCs w:val="24"/>
        </w:rPr>
        <w:lastRenderedPageBreak/>
        <w:t>suspect was not known to the witness before or where the witness’ previous knowledge was by way of either a description or a nickname. In such cases, it has always been accepted that a properly conducted identification parade “remains the most appropriate method to have an identification of a suspect done under properly controlled conditions”</w:t>
      </w:r>
      <w:r w:rsidR="00BF6E03">
        <w:rPr>
          <w:rStyle w:val="FootnoteReference"/>
          <w:rFonts w:ascii="Tahoma" w:eastAsia="Times New Roman" w:hAnsi="Tahoma" w:cs="Tahoma"/>
          <w:color w:val="000000"/>
          <w:sz w:val="24"/>
          <w:szCs w:val="24"/>
        </w:rPr>
        <w:footnoteReference w:id="17"/>
      </w:r>
      <w:r w:rsidR="00BF6E03">
        <w:rPr>
          <w:rFonts w:ascii="Tahoma" w:eastAsia="Times New Roman" w:hAnsi="Tahoma" w:cs="Tahoma"/>
          <w:color w:val="000000"/>
          <w:sz w:val="24"/>
          <w:szCs w:val="24"/>
        </w:rPr>
        <w:t>.</w:t>
      </w:r>
      <w:r w:rsidR="00674CBE">
        <w:rPr>
          <w:rFonts w:ascii="Tahoma" w:eastAsia="Times New Roman" w:hAnsi="Tahoma" w:cs="Tahoma"/>
          <w:color w:val="000000"/>
          <w:sz w:val="24"/>
          <w:szCs w:val="24"/>
        </w:rPr>
        <w:t xml:space="preserve"> In cases in which the suspect was well known to the witness, on the other hand, </w:t>
      </w:r>
      <w:r w:rsidR="003E0DCC">
        <w:rPr>
          <w:rFonts w:ascii="Tahoma" w:eastAsia="Times New Roman" w:hAnsi="Tahoma" w:cs="Tahoma"/>
          <w:color w:val="000000"/>
          <w:sz w:val="24"/>
          <w:szCs w:val="24"/>
        </w:rPr>
        <w:t xml:space="preserve">the general view was that expressed by Rowe P in </w:t>
      </w:r>
      <w:r w:rsidR="003E0DCC" w:rsidRPr="003E0DCC">
        <w:rPr>
          <w:rFonts w:ascii="Tahoma" w:eastAsia="Times New Roman" w:hAnsi="Tahoma" w:cs="Tahoma"/>
          <w:b/>
          <w:color w:val="000000"/>
          <w:sz w:val="24"/>
          <w:szCs w:val="24"/>
        </w:rPr>
        <w:t>R v Oliver Thompson</w:t>
      </w:r>
      <w:r w:rsidR="003E0DCC" w:rsidRPr="003E0DCC">
        <w:rPr>
          <w:rStyle w:val="FootnoteReference"/>
          <w:rFonts w:ascii="Tahoma" w:eastAsia="Times New Roman" w:hAnsi="Tahoma" w:cs="Tahoma"/>
          <w:color w:val="000000"/>
          <w:sz w:val="24"/>
          <w:szCs w:val="24"/>
        </w:rPr>
        <w:footnoteReference w:id="18"/>
      </w:r>
      <w:r w:rsidR="00B16B28">
        <w:rPr>
          <w:rFonts w:ascii="Tahoma" w:eastAsia="Times New Roman" w:hAnsi="Tahoma" w:cs="Tahoma"/>
          <w:color w:val="000000"/>
          <w:sz w:val="24"/>
          <w:szCs w:val="24"/>
        </w:rPr>
        <w:t>;</w:t>
      </w:r>
      <w:r w:rsidR="003E0DCC">
        <w:rPr>
          <w:rFonts w:ascii="Tahoma" w:eastAsia="Times New Roman" w:hAnsi="Tahoma" w:cs="Tahoma"/>
          <w:color w:val="000000"/>
          <w:sz w:val="24"/>
          <w:szCs w:val="24"/>
        </w:rPr>
        <w:t xml:space="preserve"> that</w:t>
      </w:r>
      <w:r w:rsidR="00B16B28">
        <w:rPr>
          <w:rFonts w:ascii="Tahoma" w:eastAsia="Times New Roman" w:hAnsi="Tahoma" w:cs="Tahoma"/>
          <w:color w:val="000000"/>
          <w:sz w:val="24"/>
          <w:szCs w:val="24"/>
        </w:rPr>
        <w:t xml:space="preserve"> is</w:t>
      </w:r>
      <w:r w:rsidR="003E0DCC">
        <w:rPr>
          <w:rFonts w:ascii="Tahoma" w:eastAsia="Times New Roman" w:hAnsi="Tahoma" w:cs="Tahoma"/>
          <w:color w:val="000000"/>
          <w:sz w:val="24"/>
          <w:szCs w:val="24"/>
        </w:rPr>
        <w:t>,</w:t>
      </w:r>
      <w:r w:rsidR="00B16B28">
        <w:rPr>
          <w:rFonts w:ascii="Tahoma" w:eastAsia="Times New Roman" w:hAnsi="Tahoma" w:cs="Tahoma"/>
          <w:color w:val="000000"/>
          <w:sz w:val="24"/>
          <w:szCs w:val="24"/>
        </w:rPr>
        <w:t xml:space="preserve"> that</w:t>
      </w:r>
      <w:r w:rsidR="003E0DCC">
        <w:rPr>
          <w:rFonts w:ascii="Tahoma" w:eastAsia="Times New Roman" w:hAnsi="Tahoma" w:cs="Tahoma"/>
          <w:color w:val="000000"/>
          <w:sz w:val="24"/>
          <w:szCs w:val="24"/>
        </w:rPr>
        <w:t xml:space="preserve"> “…it is certainly unusual for the police to decide to hold an identification parade for a suspect whom they know is well-known to the witness”.</w:t>
      </w:r>
    </w:p>
    <w:p w:rsidR="00E65761" w:rsidRDefault="003E0DCC" w:rsidP="00E65761">
      <w:pPr>
        <w:autoSpaceDE w:val="0"/>
        <w:autoSpaceDN w:val="0"/>
        <w:adjustRightInd w:val="0"/>
        <w:spacing w:after="0" w:line="480" w:lineRule="auto"/>
        <w:jc w:val="both"/>
        <w:rPr>
          <w:rFonts w:ascii="Tahoma" w:hAnsi="Tahoma" w:cs="Tahoma"/>
          <w:sz w:val="24"/>
          <w:szCs w:val="24"/>
        </w:rPr>
      </w:pPr>
      <w:r>
        <w:rPr>
          <w:rFonts w:ascii="Tahoma" w:eastAsia="Times New Roman" w:hAnsi="Tahoma" w:cs="Tahoma"/>
          <w:color w:val="000000"/>
          <w:sz w:val="24"/>
          <w:szCs w:val="24"/>
        </w:rPr>
        <w:t xml:space="preserve">12.   </w:t>
      </w:r>
      <w:r w:rsidR="00E65761">
        <w:rPr>
          <w:rFonts w:ascii="Tahoma" w:eastAsia="Times New Roman" w:hAnsi="Tahoma" w:cs="Tahoma"/>
          <w:color w:val="000000"/>
          <w:sz w:val="24"/>
          <w:szCs w:val="24"/>
        </w:rPr>
        <w:t xml:space="preserve">In the subsequent decision of the Privy Council on appeal from the Court of Appeal of Jamaica in </w:t>
      </w:r>
      <w:proofErr w:type="spellStart"/>
      <w:r w:rsidR="00954A3F" w:rsidRPr="00954A3F">
        <w:rPr>
          <w:rFonts w:ascii="Tahoma" w:eastAsia="Times New Roman" w:hAnsi="Tahoma" w:cs="Tahoma"/>
          <w:b/>
          <w:color w:val="000000"/>
          <w:sz w:val="24"/>
          <w:szCs w:val="24"/>
        </w:rPr>
        <w:t>Goldson</w:t>
      </w:r>
      <w:proofErr w:type="spellEnd"/>
      <w:r w:rsidR="00954A3F" w:rsidRPr="00954A3F">
        <w:rPr>
          <w:rFonts w:ascii="Tahoma" w:eastAsia="Times New Roman" w:hAnsi="Tahoma" w:cs="Tahoma"/>
          <w:b/>
          <w:color w:val="000000"/>
          <w:sz w:val="24"/>
          <w:szCs w:val="24"/>
        </w:rPr>
        <w:t xml:space="preserve"> &amp; </w:t>
      </w:r>
      <w:proofErr w:type="spellStart"/>
      <w:r w:rsidR="00954A3F" w:rsidRPr="00954A3F">
        <w:rPr>
          <w:rFonts w:ascii="Tahoma" w:eastAsia="Times New Roman" w:hAnsi="Tahoma" w:cs="Tahoma"/>
          <w:b/>
          <w:color w:val="000000"/>
          <w:sz w:val="24"/>
          <w:szCs w:val="24"/>
        </w:rPr>
        <w:t>McGlashan</w:t>
      </w:r>
      <w:proofErr w:type="spellEnd"/>
      <w:r w:rsidR="00954A3F" w:rsidRPr="00954A3F">
        <w:rPr>
          <w:rFonts w:ascii="Tahoma" w:eastAsia="Times New Roman" w:hAnsi="Tahoma" w:cs="Tahoma"/>
          <w:b/>
          <w:color w:val="000000"/>
          <w:sz w:val="24"/>
          <w:szCs w:val="24"/>
        </w:rPr>
        <w:t xml:space="preserve"> v R</w:t>
      </w:r>
      <w:r w:rsidR="00E65761" w:rsidRPr="00E65761">
        <w:rPr>
          <w:rStyle w:val="FootnoteReference"/>
          <w:rFonts w:ascii="Tahoma" w:eastAsia="Times New Roman" w:hAnsi="Tahoma" w:cs="Tahoma"/>
          <w:color w:val="000000"/>
          <w:sz w:val="24"/>
          <w:szCs w:val="24"/>
        </w:rPr>
        <w:footnoteReference w:id="19"/>
      </w:r>
      <w:r w:rsidR="00E65761" w:rsidRPr="00E65761">
        <w:rPr>
          <w:rFonts w:ascii="Tahoma" w:eastAsia="Times New Roman" w:hAnsi="Tahoma" w:cs="Tahoma"/>
          <w:color w:val="000000"/>
          <w:sz w:val="24"/>
          <w:szCs w:val="24"/>
        </w:rPr>
        <w:t>,</w:t>
      </w:r>
      <w:r w:rsidR="00E65761">
        <w:rPr>
          <w:rFonts w:ascii="Tahoma" w:eastAsia="Times New Roman" w:hAnsi="Tahoma" w:cs="Tahoma"/>
          <w:color w:val="000000"/>
          <w:sz w:val="24"/>
          <w:szCs w:val="24"/>
        </w:rPr>
        <w:t xml:space="preserve"> the Board agreed that </w:t>
      </w:r>
      <w:r w:rsidR="00E65761" w:rsidRPr="00E65761">
        <w:rPr>
          <w:rFonts w:ascii="Tahoma" w:eastAsia="Times New Roman" w:hAnsi="Tahoma" w:cs="Tahoma"/>
          <w:color w:val="000000"/>
          <w:sz w:val="24"/>
          <w:szCs w:val="24"/>
        </w:rPr>
        <w:t>“</w:t>
      </w:r>
      <w:r w:rsidR="00E65761" w:rsidRPr="00E65761">
        <w:rPr>
          <w:rFonts w:ascii="Tahoma" w:hAnsi="Tahoma" w:cs="Tahoma"/>
          <w:sz w:val="24"/>
          <w:szCs w:val="24"/>
        </w:rPr>
        <w:t xml:space="preserve">if the accused is accepted to be a person well known to the identifying witness, no parade need be held”. </w:t>
      </w:r>
      <w:r w:rsidR="00CA55FD">
        <w:rPr>
          <w:rFonts w:ascii="Tahoma" w:hAnsi="Tahoma" w:cs="Tahoma"/>
          <w:sz w:val="24"/>
          <w:szCs w:val="24"/>
        </w:rPr>
        <w:t xml:space="preserve">As </w:t>
      </w:r>
      <w:r w:rsidR="00E65761" w:rsidRPr="00E65761">
        <w:rPr>
          <w:rFonts w:ascii="Tahoma" w:hAnsi="Tahoma" w:cs="Tahoma"/>
          <w:sz w:val="24"/>
          <w:szCs w:val="24"/>
        </w:rPr>
        <w:t>Lord Hoffmann went on to explain</w:t>
      </w:r>
      <w:r w:rsidR="00E65761">
        <w:rPr>
          <w:rStyle w:val="FootnoteReference"/>
          <w:rFonts w:ascii="Tahoma" w:hAnsi="Tahoma" w:cs="Tahoma"/>
          <w:sz w:val="24"/>
          <w:szCs w:val="24"/>
        </w:rPr>
        <w:footnoteReference w:id="20"/>
      </w:r>
      <w:r w:rsidR="00E65761">
        <w:rPr>
          <w:rFonts w:ascii="Tahoma" w:hAnsi="Tahoma" w:cs="Tahoma"/>
          <w:sz w:val="24"/>
          <w:szCs w:val="24"/>
        </w:rPr>
        <w:t>,</w:t>
      </w:r>
      <w:r w:rsidR="00E65761" w:rsidRPr="00E65761">
        <w:rPr>
          <w:rFonts w:ascii="Tahoma" w:hAnsi="Tahoma" w:cs="Tahoma"/>
          <w:sz w:val="24"/>
          <w:szCs w:val="24"/>
        </w:rPr>
        <w:t xml:space="preserve"> in such a case</w:t>
      </w:r>
      <w:r w:rsidR="00E65761">
        <w:rPr>
          <w:rFonts w:ascii="Tahoma" w:hAnsi="Tahoma" w:cs="Tahoma"/>
          <w:sz w:val="24"/>
          <w:szCs w:val="24"/>
        </w:rPr>
        <w:t>,</w:t>
      </w:r>
      <w:r w:rsidR="00E65761" w:rsidRPr="00E65761">
        <w:rPr>
          <w:rFonts w:ascii="Tahoma" w:hAnsi="Tahoma" w:cs="Tahoma"/>
          <w:sz w:val="24"/>
          <w:szCs w:val="24"/>
        </w:rPr>
        <w:t xml:space="preserve"> the witness would naturally pick out the person whom he knows and whom he believes that he saw commit the crime</w:t>
      </w:r>
      <w:r w:rsidR="00CA55FD">
        <w:rPr>
          <w:rFonts w:ascii="Tahoma" w:hAnsi="Tahoma" w:cs="Tahoma"/>
          <w:sz w:val="24"/>
          <w:szCs w:val="24"/>
        </w:rPr>
        <w:t>. Further,</w:t>
      </w:r>
      <w:r w:rsidR="00E65761" w:rsidRPr="00E65761">
        <w:rPr>
          <w:rFonts w:ascii="Tahoma" w:hAnsi="Tahoma" w:cs="Tahoma"/>
          <w:sz w:val="24"/>
          <w:szCs w:val="24"/>
        </w:rPr>
        <w:t xml:space="preserve"> the evidence of the parade might mislead the jury into thinking that it somehow confirmed the identification, “whereas all that it would confirm was the undisputed fact that the witness knew the accused”.  </w:t>
      </w:r>
    </w:p>
    <w:p w:rsidR="00CA55FD" w:rsidRDefault="00CA55FD" w:rsidP="00CA55FD">
      <w:pPr>
        <w:autoSpaceDE w:val="0"/>
        <w:autoSpaceDN w:val="0"/>
        <w:adjustRightInd w:val="0"/>
        <w:spacing w:after="0" w:line="240" w:lineRule="auto"/>
        <w:jc w:val="both"/>
        <w:rPr>
          <w:rFonts w:ascii="Tahoma" w:hAnsi="Tahoma" w:cs="Tahoma"/>
          <w:sz w:val="24"/>
          <w:szCs w:val="24"/>
        </w:rPr>
      </w:pPr>
    </w:p>
    <w:p w:rsidR="00780B4D" w:rsidRDefault="00CA55FD" w:rsidP="00780B4D">
      <w:pPr>
        <w:autoSpaceDE w:val="0"/>
        <w:autoSpaceDN w:val="0"/>
        <w:adjustRightInd w:val="0"/>
        <w:spacing w:after="0" w:line="480" w:lineRule="auto"/>
        <w:jc w:val="both"/>
        <w:rPr>
          <w:rFonts w:ascii="Tahoma" w:eastAsia="Times New Roman" w:hAnsi="Tahoma" w:cs="Tahoma"/>
          <w:color w:val="000000"/>
          <w:sz w:val="24"/>
          <w:szCs w:val="24"/>
        </w:rPr>
      </w:pPr>
      <w:r w:rsidRPr="00780B4D">
        <w:rPr>
          <w:rFonts w:ascii="Tahoma" w:hAnsi="Tahoma" w:cs="Tahoma"/>
          <w:sz w:val="24"/>
          <w:szCs w:val="24"/>
        </w:rPr>
        <w:t xml:space="preserve">13.   But, on its facts, </w:t>
      </w:r>
      <w:proofErr w:type="spellStart"/>
      <w:r w:rsidRPr="00780B4D">
        <w:rPr>
          <w:rFonts w:ascii="Tahoma" w:eastAsia="Times New Roman" w:hAnsi="Tahoma" w:cs="Tahoma"/>
          <w:b/>
          <w:color w:val="000000"/>
          <w:sz w:val="24"/>
          <w:szCs w:val="24"/>
        </w:rPr>
        <w:t>Goldson</w:t>
      </w:r>
      <w:proofErr w:type="spellEnd"/>
      <w:r w:rsidRPr="00780B4D">
        <w:rPr>
          <w:rFonts w:ascii="Tahoma" w:eastAsia="Times New Roman" w:hAnsi="Tahoma" w:cs="Tahoma"/>
          <w:b/>
          <w:color w:val="000000"/>
          <w:sz w:val="24"/>
          <w:szCs w:val="24"/>
        </w:rPr>
        <w:t xml:space="preserve"> &amp; </w:t>
      </w:r>
      <w:proofErr w:type="spellStart"/>
      <w:r w:rsidRPr="00780B4D">
        <w:rPr>
          <w:rFonts w:ascii="Tahoma" w:eastAsia="Times New Roman" w:hAnsi="Tahoma" w:cs="Tahoma"/>
          <w:b/>
          <w:color w:val="000000"/>
          <w:sz w:val="24"/>
          <w:szCs w:val="24"/>
        </w:rPr>
        <w:t>McGlashan</w:t>
      </w:r>
      <w:proofErr w:type="spellEnd"/>
      <w:r w:rsidRPr="00780B4D">
        <w:rPr>
          <w:rFonts w:ascii="Tahoma" w:eastAsia="Times New Roman" w:hAnsi="Tahoma" w:cs="Tahoma"/>
          <w:b/>
          <w:color w:val="000000"/>
          <w:sz w:val="24"/>
          <w:szCs w:val="24"/>
        </w:rPr>
        <w:t xml:space="preserve"> </w:t>
      </w:r>
      <w:r w:rsidRPr="00780B4D">
        <w:rPr>
          <w:rFonts w:ascii="Tahoma" w:eastAsia="Times New Roman" w:hAnsi="Tahoma" w:cs="Tahoma"/>
          <w:color w:val="000000"/>
          <w:sz w:val="24"/>
          <w:szCs w:val="24"/>
        </w:rPr>
        <w:t>was a s</w:t>
      </w:r>
      <w:r w:rsidR="00B16B28">
        <w:rPr>
          <w:rFonts w:ascii="Tahoma" w:eastAsia="Times New Roman" w:hAnsi="Tahoma" w:cs="Tahoma"/>
          <w:color w:val="000000"/>
          <w:sz w:val="24"/>
          <w:szCs w:val="24"/>
        </w:rPr>
        <w:t>omewhat</w:t>
      </w:r>
      <w:r w:rsidRPr="00780B4D">
        <w:rPr>
          <w:rFonts w:ascii="Tahoma" w:eastAsia="Times New Roman" w:hAnsi="Tahoma" w:cs="Tahoma"/>
          <w:color w:val="000000"/>
          <w:sz w:val="24"/>
          <w:szCs w:val="24"/>
        </w:rPr>
        <w:t xml:space="preserve"> different kind of case. One of the </w:t>
      </w:r>
      <w:r w:rsidR="00780B4D" w:rsidRPr="00780B4D">
        <w:rPr>
          <w:rFonts w:ascii="Tahoma" w:eastAsia="Times New Roman" w:hAnsi="Tahoma" w:cs="Tahoma"/>
          <w:color w:val="000000"/>
          <w:sz w:val="24"/>
          <w:szCs w:val="24"/>
        </w:rPr>
        <w:t>appell</w:t>
      </w:r>
      <w:r w:rsidRPr="00780B4D">
        <w:rPr>
          <w:rFonts w:ascii="Tahoma" w:eastAsia="Times New Roman" w:hAnsi="Tahoma" w:cs="Tahoma"/>
          <w:color w:val="000000"/>
          <w:sz w:val="24"/>
          <w:szCs w:val="24"/>
        </w:rPr>
        <w:t xml:space="preserve">ants, who </w:t>
      </w:r>
      <w:proofErr w:type="gramStart"/>
      <w:r w:rsidRPr="00780B4D">
        <w:rPr>
          <w:rFonts w:ascii="Tahoma" w:eastAsia="Times New Roman" w:hAnsi="Tahoma" w:cs="Tahoma"/>
          <w:color w:val="000000"/>
          <w:sz w:val="24"/>
          <w:szCs w:val="24"/>
        </w:rPr>
        <w:t>was</w:t>
      </w:r>
      <w:proofErr w:type="gramEnd"/>
      <w:r w:rsidRPr="00780B4D">
        <w:rPr>
          <w:rFonts w:ascii="Tahoma" w:eastAsia="Times New Roman" w:hAnsi="Tahoma" w:cs="Tahoma"/>
          <w:color w:val="000000"/>
          <w:sz w:val="24"/>
          <w:szCs w:val="24"/>
        </w:rPr>
        <w:t xml:space="preserve"> identified by the witness by the use of a nickname, strongly denied from the outset (before he was arrested) that he was called by that </w:t>
      </w:r>
      <w:r w:rsidRPr="00780B4D">
        <w:rPr>
          <w:rFonts w:ascii="Tahoma" w:eastAsia="Times New Roman" w:hAnsi="Tahoma" w:cs="Tahoma"/>
          <w:color w:val="000000"/>
          <w:sz w:val="24"/>
          <w:szCs w:val="24"/>
        </w:rPr>
        <w:lastRenderedPageBreak/>
        <w:t xml:space="preserve">name and maintained that the witness was not known to him. Although the other </w:t>
      </w:r>
      <w:r w:rsidR="00780B4D" w:rsidRPr="00780B4D">
        <w:rPr>
          <w:rFonts w:ascii="Tahoma" w:eastAsia="Times New Roman" w:hAnsi="Tahoma" w:cs="Tahoma"/>
          <w:color w:val="000000"/>
          <w:sz w:val="24"/>
          <w:szCs w:val="24"/>
        </w:rPr>
        <w:t>appella</w:t>
      </w:r>
      <w:r w:rsidRPr="00780B4D">
        <w:rPr>
          <w:rFonts w:ascii="Tahoma" w:eastAsia="Times New Roman" w:hAnsi="Tahoma" w:cs="Tahoma"/>
          <w:color w:val="000000"/>
          <w:sz w:val="24"/>
          <w:szCs w:val="24"/>
        </w:rPr>
        <w:t xml:space="preserve">nt, who was also identified by a nickname, did not at an early stage deny knowing the witness, at the trial he maintained that </w:t>
      </w:r>
      <w:r w:rsidR="005E237D" w:rsidRPr="00780B4D">
        <w:rPr>
          <w:rFonts w:ascii="Tahoma" w:eastAsia="Times New Roman" w:hAnsi="Tahoma" w:cs="Tahoma"/>
          <w:color w:val="000000"/>
          <w:sz w:val="24"/>
          <w:szCs w:val="24"/>
        </w:rPr>
        <w:t>he had not known her before and that he was not known by the nickname by which she said he was</w:t>
      </w:r>
      <w:r w:rsidR="008D3115">
        <w:rPr>
          <w:rFonts w:ascii="Tahoma" w:eastAsia="Times New Roman" w:hAnsi="Tahoma" w:cs="Tahoma"/>
          <w:color w:val="000000"/>
          <w:sz w:val="24"/>
          <w:szCs w:val="24"/>
        </w:rPr>
        <w:t xml:space="preserve"> known</w:t>
      </w:r>
      <w:r w:rsidR="005E237D" w:rsidRPr="00780B4D">
        <w:rPr>
          <w:rFonts w:ascii="Tahoma" w:eastAsia="Times New Roman" w:hAnsi="Tahoma" w:cs="Tahoma"/>
          <w:color w:val="000000"/>
          <w:sz w:val="24"/>
          <w:szCs w:val="24"/>
        </w:rPr>
        <w:t>.</w:t>
      </w:r>
    </w:p>
    <w:p w:rsidR="00780B4D" w:rsidRDefault="00780B4D" w:rsidP="00780B4D">
      <w:pPr>
        <w:autoSpaceDE w:val="0"/>
        <w:autoSpaceDN w:val="0"/>
        <w:adjustRightInd w:val="0"/>
        <w:spacing w:after="0" w:line="240" w:lineRule="auto"/>
        <w:jc w:val="both"/>
        <w:rPr>
          <w:rFonts w:ascii="Tahoma" w:eastAsia="Times New Roman" w:hAnsi="Tahoma" w:cs="Tahoma"/>
          <w:color w:val="000000"/>
          <w:sz w:val="24"/>
          <w:szCs w:val="24"/>
        </w:rPr>
      </w:pPr>
    </w:p>
    <w:p w:rsidR="00780B4D" w:rsidRDefault="00780B4D" w:rsidP="00780B4D">
      <w:pPr>
        <w:autoSpaceDE w:val="0"/>
        <w:autoSpaceDN w:val="0"/>
        <w:adjustRightInd w:val="0"/>
        <w:spacing w:after="0" w:line="480" w:lineRule="auto"/>
        <w:jc w:val="both"/>
        <w:rPr>
          <w:rFonts w:ascii="Tahoma" w:hAnsi="Tahoma" w:cs="Tahoma"/>
          <w:sz w:val="24"/>
          <w:szCs w:val="24"/>
        </w:rPr>
      </w:pPr>
      <w:r>
        <w:rPr>
          <w:rFonts w:ascii="Tahoma" w:eastAsia="Times New Roman" w:hAnsi="Tahoma" w:cs="Tahoma"/>
          <w:color w:val="000000"/>
          <w:sz w:val="24"/>
          <w:szCs w:val="24"/>
        </w:rPr>
        <w:t>14.</w:t>
      </w:r>
      <w:r w:rsidRPr="00780B4D">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C</w:t>
      </w:r>
      <w:r w:rsidRPr="00780B4D">
        <w:rPr>
          <w:rFonts w:ascii="Tahoma" w:eastAsia="Times New Roman" w:hAnsi="Tahoma" w:cs="Tahoma"/>
          <w:color w:val="000000"/>
          <w:sz w:val="24"/>
          <w:szCs w:val="24"/>
        </w:rPr>
        <w:t>ounsel for the appellants accepted in argument before the Board that</w:t>
      </w:r>
      <w:r w:rsidR="008D3115">
        <w:rPr>
          <w:rFonts w:ascii="Tahoma" w:eastAsia="Times New Roman" w:hAnsi="Tahoma" w:cs="Tahoma"/>
          <w:color w:val="000000"/>
          <w:sz w:val="24"/>
          <w:szCs w:val="24"/>
        </w:rPr>
        <w:t>,</w:t>
      </w:r>
      <w:r w:rsidRPr="00780B4D">
        <w:rPr>
          <w:rFonts w:ascii="Tahoma" w:eastAsia="Times New Roman" w:hAnsi="Tahoma" w:cs="Tahoma"/>
          <w:color w:val="000000"/>
          <w:sz w:val="24"/>
          <w:szCs w:val="24"/>
        </w:rPr>
        <w:t xml:space="preserve"> </w:t>
      </w:r>
      <w:r w:rsidRPr="00780B4D">
        <w:rPr>
          <w:rFonts w:ascii="Tahoma" w:hAnsi="Tahoma" w:cs="Tahoma"/>
          <w:sz w:val="24"/>
          <w:szCs w:val="24"/>
        </w:rPr>
        <w:t xml:space="preserve">if the accused </w:t>
      </w:r>
      <w:r>
        <w:rPr>
          <w:rFonts w:ascii="Tahoma" w:hAnsi="Tahoma" w:cs="Tahoma"/>
          <w:sz w:val="24"/>
          <w:szCs w:val="24"/>
        </w:rPr>
        <w:t>wa</w:t>
      </w:r>
      <w:r w:rsidRPr="00780B4D">
        <w:rPr>
          <w:rFonts w:ascii="Tahoma" w:hAnsi="Tahoma" w:cs="Tahoma"/>
          <w:sz w:val="24"/>
          <w:szCs w:val="24"/>
        </w:rPr>
        <w:t xml:space="preserve">s well known to the witness, an identification parade </w:t>
      </w:r>
      <w:r>
        <w:rPr>
          <w:rFonts w:ascii="Tahoma" w:hAnsi="Tahoma" w:cs="Tahoma"/>
          <w:sz w:val="24"/>
          <w:szCs w:val="24"/>
        </w:rPr>
        <w:t>would be</w:t>
      </w:r>
      <w:r w:rsidRPr="00780B4D">
        <w:rPr>
          <w:rFonts w:ascii="Tahoma" w:hAnsi="Tahoma" w:cs="Tahoma"/>
          <w:sz w:val="24"/>
          <w:szCs w:val="24"/>
        </w:rPr>
        <w:t xml:space="preserve"> unnecessary and </w:t>
      </w:r>
      <w:r>
        <w:rPr>
          <w:rFonts w:ascii="Tahoma" w:hAnsi="Tahoma" w:cs="Tahoma"/>
          <w:sz w:val="24"/>
          <w:szCs w:val="24"/>
        </w:rPr>
        <w:t>possibly</w:t>
      </w:r>
      <w:r w:rsidRPr="00780B4D">
        <w:rPr>
          <w:rFonts w:ascii="Tahoma" w:hAnsi="Tahoma" w:cs="Tahoma"/>
          <w:sz w:val="24"/>
          <w:szCs w:val="24"/>
        </w:rPr>
        <w:t xml:space="preserve"> misleading</w:t>
      </w:r>
      <w:r>
        <w:rPr>
          <w:rFonts w:ascii="Tahoma" w:hAnsi="Tahoma" w:cs="Tahoma"/>
          <w:sz w:val="24"/>
          <w:szCs w:val="24"/>
        </w:rPr>
        <w:t>. However, h</w:t>
      </w:r>
      <w:r w:rsidR="008D3115">
        <w:rPr>
          <w:rFonts w:ascii="Tahoma" w:hAnsi="Tahoma" w:cs="Tahoma"/>
          <w:sz w:val="24"/>
          <w:szCs w:val="24"/>
        </w:rPr>
        <w:t>e submitted, and the</w:t>
      </w:r>
      <w:r>
        <w:rPr>
          <w:rFonts w:ascii="Tahoma" w:hAnsi="Tahoma" w:cs="Tahoma"/>
          <w:sz w:val="24"/>
          <w:szCs w:val="24"/>
        </w:rPr>
        <w:t xml:space="preserve"> Board accepted, </w:t>
      </w:r>
      <w:r w:rsidR="008D3115">
        <w:rPr>
          <w:rFonts w:ascii="Tahoma" w:hAnsi="Tahoma" w:cs="Tahoma"/>
          <w:sz w:val="24"/>
          <w:szCs w:val="24"/>
        </w:rPr>
        <w:t>that</w:t>
      </w:r>
      <w:r>
        <w:rPr>
          <w:rFonts w:ascii="Tahoma" w:hAnsi="Tahoma" w:cs="Tahoma"/>
          <w:sz w:val="24"/>
          <w:szCs w:val="24"/>
        </w:rPr>
        <w:t xml:space="preserve"> in this case that very question was </w:t>
      </w:r>
      <w:r w:rsidRPr="00780B4D">
        <w:rPr>
          <w:rFonts w:ascii="Tahoma" w:hAnsi="Tahoma" w:cs="Tahoma"/>
          <w:sz w:val="24"/>
          <w:szCs w:val="24"/>
        </w:rPr>
        <w:t>itself in dispute</w:t>
      </w:r>
      <w:r>
        <w:rPr>
          <w:rFonts w:ascii="Tahoma" w:hAnsi="Tahoma" w:cs="Tahoma"/>
          <w:sz w:val="24"/>
          <w:szCs w:val="24"/>
        </w:rPr>
        <w:t xml:space="preserve"> and </w:t>
      </w:r>
      <w:r w:rsidRPr="00780B4D">
        <w:rPr>
          <w:rFonts w:ascii="Tahoma" w:hAnsi="Tahoma" w:cs="Tahoma"/>
          <w:sz w:val="24"/>
          <w:szCs w:val="24"/>
        </w:rPr>
        <w:t>an identification parade would have helped to resolve this dispute</w:t>
      </w:r>
      <w:r>
        <w:rPr>
          <w:rFonts w:ascii="Tahoma" w:hAnsi="Tahoma" w:cs="Tahoma"/>
          <w:sz w:val="24"/>
          <w:szCs w:val="24"/>
        </w:rPr>
        <w:t>. Lord Hoffmann said this</w:t>
      </w:r>
      <w:r>
        <w:rPr>
          <w:rStyle w:val="FootnoteReference"/>
          <w:rFonts w:ascii="Tahoma" w:hAnsi="Tahoma" w:cs="Tahoma"/>
          <w:sz w:val="24"/>
          <w:szCs w:val="24"/>
        </w:rPr>
        <w:footnoteReference w:id="21"/>
      </w:r>
      <w:r>
        <w:rPr>
          <w:rFonts w:ascii="Tahoma" w:hAnsi="Tahoma" w:cs="Tahoma"/>
          <w:sz w:val="24"/>
          <w:szCs w:val="24"/>
        </w:rPr>
        <w:t>:</w:t>
      </w:r>
    </w:p>
    <w:p w:rsidR="00B93574" w:rsidRPr="00780B4D" w:rsidRDefault="00B93574" w:rsidP="00B93574">
      <w:pPr>
        <w:autoSpaceDE w:val="0"/>
        <w:autoSpaceDN w:val="0"/>
        <w:adjustRightInd w:val="0"/>
        <w:spacing w:after="0" w:line="240" w:lineRule="auto"/>
        <w:jc w:val="both"/>
        <w:rPr>
          <w:rFonts w:ascii="Tahoma" w:hAnsi="Tahoma" w:cs="Tahoma"/>
          <w:sz w:val="24"/>
          <w:szCs w:val="24"/>
        </w:rPr>
      </w:pPr>
    </w:p>
    <w:p w:rsidR="00B93574" w:rsidRDefault="00B93574" w:rsidP="00B93574">
      <w:pPr>
        <w:autoSpaceDE w:val="0"/>
        <w:autoSpaceDN w:val="0"/>
        <w:adjustRightInd w:val="0"/>
        <w:spacing w:after="0" w:line="240" w:lineRule="auto"/>
        <w:ind w:left="1440" w:right="1440"/>
        <w:jc w:val="both"/>
        <w:rPr>
          <w:rFonts w:ascii="Tahoma" w:hAnsi="Tahoma" w:cs="Tahoma"/>
          <w:sz w:val="24"/>
          <w:szCs w:val="24"/>
        </w:rPr>
      </w:pPr>
      <w:r>
        <w:rPr>
          <w:rFonts w:ascii="Tahoma" w:hAnsi="Tahoma" w:cs="Tahoma"/>
          <w:sz w:val="24"/>
          <w:szCs w:val="24"/>
        </w:rPr>
        <w:t>“</w:t>
      </w:r>
      <w:r w:rsidR="00780B4D" w:rsidRPr="00780B4D">
        <w:rPr>
          <w:rFonts w:ascii="Tahoma" w:hAnsi="Tahoma" w:cs="Tahoma"/>
          <w:sz w:val="24"/>
          <w:szCs w:val="24"/>
        </w:rPr>
        <w:t xml:space="preserve">The normal function of an identification parade is to test the accuracy of the witness’s recollection of the person whom he says he saw commit the offence. Although, as experience has shown, it is not by any means a complete safeguard against error, it is at least less likely to be mistaken than </w:t>
      </w:r>
      <w:proofErr w:type="gramStart"/>
      <w:r w:rsidR="00780B4D" w:rsidRPr="00780B4D">
        <w:rPr>
          <w:rFonts w:ascii="Tahoma" w:hAnsi="Tahoma" w:cs="Tahoma"/>
          <w:sz w:val="24"/>
          <w:szCs w:val="24"/>
        </w:rPr>
        <w:t>a dock</w:t>
      </w:r>
      <w:proofErr w:type="gramEnd"/>
      <w:r w:rsidR="00780B4D" w:rsidRPr="00780B4D">
        <w:rPr>
          <w:rFonts w:ascii="Tahoma" w:hAnsi="Tahoma" w:cs="Tahoma"/>
          <w:sz w:val="24"/>
          <w:szCs w:val="24"/>
        </w:rPr>
        <w:t xml:space="preserve"> identification. But an identification parade in the present case would have been for an altogether different purpose. It would have been to test the honesty of </w:t>
      </w:r>
      <w:r>
        <w:rPr>
          <w:rFonts w:ascii="Tahoma" w:hAnsi="Tahoma" w:cs="Tahoma"/>
          <w:sz w:val="24"/>
          <w:szCs w:val="24"/>
        </w:rPr>
        <w:t>[the witness’]</w:t>
      </w:r>
      <w:r w:rsidR="00780B4D" w:rsidRPr="00780B4D">
        <w:rPr>
          <w:rFonts w:ascii="Tahoma" w:hAnsi="Tahoma" w:cs="Tahoma"/>
          <w:sz w:val="24"/>
          <w:szCs w:val="24"/>
        </w:rPr>
        <w:t xml:space="preserve"> assertion that she knew the accused.</w:t>
      </w:r>
      <w:r>
        <w:rPr>
          <w:rFonts w:ascii="Tahoma" w:hAnsi="Tahoma" w:cs="Tahoma"/>
          <w:sz w:val="24"/>
          <w:szCs w:val="24"/>
        </w:rPr>
        <w:t>”</w:t>
      </w:r>
    </w:p>
    <w:p w:rsidR="00B93574" w:rsidRDefault="00B93574" w:rsidP="00780B4D">
      <w:pPr>
        <w:autoSpaceDE w:val="0"/>
        <w:autoSpaceDN w:val="0"/>
        <w:adjustRightInd w:val="0"/>
        <w:spacing w:after="0" w:line="480" w:lineRule="auto"/>
        <w:jc w:val="both"/>
        <w:rPr>
          <w:rFonts w:ascii="Tahoma" w:hAnsi="Tahoma" w:cs="Tahoma"/>
          <w:sz w:val="24"/>
          <w:szCs w:val="24"/>
        </w:rPr>
      </w:pPr>
    </w:p>
    <w:p w:rsidR="00780B4D" w:rsidRDefault="00B93574" w:rsidP="00780B4D">
      <w:pPr>
        <w:autoSpaceDE w:val="0"/>
        <w:autoSpaceDN w:val="0"/>
        <w:adjustRightInd w:val="0"/>
        <w:spacing w:after="0" w:line="480" w:lineRule="auto"/>
        <w:jc w:val="both"/>
        <w:rPr>
          <w:rFonts w:ascii="Tahoma" w:hAnsi="Tahoma" w:cs="Tahoma"/>
          <w:sz w:val="24"/>
          <w:szCs w:val="24"/>
        </w:rPr>
      </w:pPr>
      <w:r>
        <w:rPr>
          <w:rFonts w:ascii="Tahoma" w:hAnsi="Tahoma" w:cs="Tahoma"/>
          <w:sz w:val="24"/>
          <w:szCs w:val="24"/>
        </w:rPr>
        <w:t>15.   Lord Hoffmann went on to point out that the source of the</w:t>
      </w:r>
      <w:r w:rsidR="00780B4D" w:rsidRPr="00780B4D">
        <w:rPr>
          <w:rFonts w:ascii="Tahoma" w:hAnsi="Tahoma" w:cs="Tahoma"/>
          <w:sz w:val="24"/>
          <w:szCs w:val="24"/>
        </w:rPr>
        <w:t xml:space="preserve"> obligation of the police to hold identification parades </w:t>
      </w:r>
      <w:r>
        <w:rPr>
          <w:rFonts w:ascii="Tahoma" w:hAnsi="Tahoma" w:cs="Tahoma"/>
          <w:sz w:val="24"/>
          <w:szCs w:val="24"/>
        </w:rPr>
        <w:t xml:space="preserve">in England is to be found in the </w:t>
      </w:r>
      <w:r w:rsidR="00780B4D" w:rsidRPr="00780B4D">
        <w:rPr>
          <w:rFonts w:ascii="Tahoma" w:hAnsi="Tahoma" w:cs="Tahoma"/>
          <w:sz w:val="24"/>
          <w:szCs w:val="24"/>
        </w:rPr>
        <w:t>code of practice issued by the Home Secretary pursuant to s</w:t>
      </w:r>
      <w:r>
        <w:rPr>
          <w:rFonts w:ascii="Tahoma" w:hAnsi="Tahoma" w:cs="Tahoma"/>
          <w:sz w:val="24"/>
          <w:szCs w:val="24"/>
        </w:rPr>
        <w:t>ection</w:t>
      </w:r>
      <w:r w:rsidR="00780B4D" w:rsidRPr="00780B4D">
        <w:rPr>
          <w:rFonts w:ascii="Tahoma" w:hAnsi="Tahoma" w:cs="Tahoma"/>
          <w:sz w:val="24"/>
          <w:szCs w:val="24"/>
        </w:rPr>
        <w:t xml:space="preserve"> 66 of the Police and Criminal Evidence Act 1984</w:t>
      </w:r>
      <w:r w:rsidR="00B16B28">
        <w:rPr>
          <w:rFonts w:ascii="Tahoma" w:hAnsi="Tahoma" w:cs="Tahoma"/>
          <w:sz w:val="24"/>
          <w:szCs w:val="24"/>
        </w:rPr>
        <w:t xml:space="preserve"> (‘PACE’)</w:t>
      </w:r>
      <w:r>
        <w:rPr>
          <w:rFonts w:ascii="Tahoma" w:hAnsi="Tahoma" w:cs="Tahoma"/>
          <w:sz w:val="24"/>
          <w:szCs w:val="24"/>
        </w:rPr>
        <w:t>. T</w:t>
      </w:r>
      <w:r w:rsidR="00780B4D" w:rsidRPr="00780B4D">
        <w:rPr>
          <w:rFonts w:ascii="Tahoma" w:hAnsi="Tahoma" w:cs="Tahoma"/>
          <w:sz w:val="24"/>
          <w:szCs w:val="24"/>
        </w:rPr>
        <w:t>he effect</w:t>
      </w:r>
      <w:r>
        <w:rPr>
          <w:rFonts w:ascii="Tahoma" w:hAnsi="Tahoma" w:cs="Tahoma"/>
          <w:sz w:val="24"/>
          <w:szCs w:val="24"/>
        </w:rPr>
        <w:t xml:space="preserve"> of the code </w:t>
      </w:r>
      <w:r w:rsidR="002068E9">
        <w:rPr>
          <w:rFonts w:ascii="Tahoma" w:hAnsi="Tahoma" w:cs="Tahoma"/>
          <w:sz w:val="24"/>
          <w:szCs w:val="24"/>
        </w:rPr>
        <w:t>was</w:t>
      </w:r>
      <w:r>
        <w:rPr>
          <w:rFonts w:ascii="Tahoma" w:hAnsi="Tahoma" w:cs="Tahoma"/>
          <w:sz w:val="24"/>
          <w:szCs w:val="24"/>
        </w:rPr>
        <w:t xml:space="preserve"> </w:t>
      </w:r>
      <w:r w:rsidR="00780B4D" w:rsidRPr="00780B4D">
        <w:rPr>
          <w:rFonts w:ascii="Tahoma" w:hAnsi="Tahoma" w:cs="Tahoma"/>
          <w:sz w:val="24"/>
          <w:szCs w:val="24"/>
        </w:rPr>
        <w:t xml:space="preserve">summed up by </w:t>
      </w:r>
      <w:proofErr w:type="spellStart"/>
      <w:r w:rsidR="00780B4D" w:rsidRPr="00780B4D">
        <w:rPr>
          <w:rFonts w:ascii="Tahoma" w:hAnsi="Tahoma" w:cs="Tahoma"/>
          <w:sz w:val="24"/>
          <w:szCs w:val="24"/>
        </w:rPr>
        <w:t>Hobhouse</w:t>
      </w:r>
      <w:proofErr w:type="spellEnd"/>
      <w:r w:rsidR="00780B4D" w:rsidRPr="00780B4D">
        <w:rPr>
          <w:rFonts w:ascii="Tahoma" w:hAnsi="Tahoma" w:cs="Tahoma"/>
          <w:sz w:val="24"/>
          <w:szCs w:val="24"/>
        </w:rPr>
        <w:t xml:space="preserve"> LJ in</w:t>
      </w:r>
      <w:r w:rsidR="00780B4D" w:rsidRPr="00780B4D">
        <w:rPr>
          <w:rFonts w:ascii="Tahoma" w:hAnsi="Tahoma" w:cs="Tahoma"/>
          <w:i/>
          <w:iCs/>
          <w:sz w:val="24"/>
          <w:szCs w:val="24"/>
        </w:rPr>
        <w:t xml:space="preserve"> </w:t>
      </w:r>
      <w:r w:rsidR="00780B4D" w:rsidRPr="00B93574">
        <w:rPr>
          <w:rFonts w:ascii="Tahoma" w:hAnsi="Tahoma" w:cs="Tahoma"/>
          <w:b/>
          <w:iCs/>
          <w:sz w:val="24"/>
          <w:szCs w:val="24"/>
        </w:rPr>
        <w:t xml:space="preserve">R v </w:t>
      </w:r>
      <w:proofErr w:type="spellStart"/>
      <w:r w:rsidR="00780B4D" w:rsidRPr="00B93574">
        <w:rPr>
          <w:rFonts w:ascii="Tahoma" w:hAnsi="Tahoma" w:cs="Tahoma"/>
          <w:b/>
          <w:iCs/>
          <w:sz w:val="24"/>
          <w:szCs w:val="24"/>
        </w:rPr>
        <w:t>Popat</w:t>
      </w:r>
      <w:proofErr w:type="spellEnd"/>
      <w:r w:rsidRPr="00B93574">
        <w:rPr>
          <w:rStyle w:val="FootnoteReference"/>
          <w:rFonts w:ascii="Tahoma" w:hAnsi="Tahoma" w:cs="Tahoma"/>
          <w:iCs/>
          <w:sz w:val="24"/>
          <w:szCs w:val="24"/>
        </w:rPr>
        <w:footnoteReference w:id="22"/>
      </w:r>
      <w:proofErr w:type="gramStart"/>
      <w:r w:rsidR="009360EB" w:rsidRPr="009360EB">
        <w:rPr>
          <w:rFonts w:ascii="Tahoma" w:hAnsi="Tahoma" w:cs="Tahoma"/>
          <w:iCs/>
          <w:sz w:val="24"/>
          <w:szCs w:val="24"/>
        </w:rPr>
        <w:t>:</w:t>
      </w:r>
      <w:r w:rsidR="00B16B28">
        <w:rPr>
          <w:rFonts w:ascii="Tahoma" w:hAnsi="Tahoma" w:cs="Tahoma"/>
          <w:iCs/>
          <w:sz w:val="24"/>
          <w:szCs w:val="24"/>
        </w:rPr>
        <w:t xml:space="preserve"> </w:t>
      </w:r>
      <w:r>
        <w:rPr>
          <w:rFonts w:ascii="Tahoma" w:hAnsi="Tahoma" w:cs="Tahoma"/>
          <w:sz w:val="24"/>
          <w:szCs w:val="24"/>
        </w:rPr>
        <w:t>”</w:t>
      </w:r>
      <w:proofErr w:type="gramEnd"/>
      <w:r w:rsidR="00780B4D" w:rsidRPr="00780B4D">
        <w:rPr>
          <w:rFonts w:ascii="Tahoma" w:hAnsi="Tahoma" w:cs="Tahoma"/>
          <w:sz w:val="24"/>
          <w:szCs w:val="24"/>
        </w:rPr>
        <w:t>There ought to be an identification parade where it would serve a useful purpose</w:t>
      </w:r>
      <w:r>
        <w:rPr>
          <w:rFonts w:ascii="Tahoma" w:hAnsi="Tahoma" w:cs="Tahoma"/>
          <w:sz w:val="24"/>
          <w:szCs w:val="24"/>
        </w:rPr>
        <w:t>.”</w:t>
      </w:r>
      <w:r w:rsidR="002068E9">
        <w:rPr>
          <w:rFonts w:ascii="Tahoma" w:hAnsi="Tahoma" w:cs="Tahoma"/>
          <w:sz w:val="24"/>
          <w:szCs w:val="24"/>
        </w:rPr>
        <w:t xml:space="preserve"> </w:t>
      </w:r>
      <w:r w:rsidR="002068E9">
        <w:rPr>
          <w:rFonts w:ascii="Tahoma" w:hAnsi="Tahoma" w:cs="Tahoma"/>
          <w:sz w:val="24"/>
          <w:szCs w:val="24"/>
        </w:rPr>
        <w:lastRenderedPageBreak/>
        <w:t>Although acknowledging that the code did not form part of the law of Jamaica, Lord Hoffmann concluded</w:t>
      </w:r>
      <w:r w:rsidR="002068E9">
        <w:rPr>
          <w:rStyle w:val="FootnoteReference"/>
          <w:rFonts w:ascii="Tahoma" w:hAnsi="Tahoma" w:cs="Tahoma"/>
          <w:sz w:val="24"/>
          <w:szCs w:val="24"/>
        </w:rPr>
        <w:footnoteReference w:id="23"/>
      </w:r>
      <w:r w:rsidR="002068E9">
        <w:rPr>
          <w:rFonts w:ascii="Tahoma" w:hAnsi="Tahoma" w:cs="Tahoma"/>
          <w:sz w:val="24"/>
          <w:szCs w:val="24"/>
        </w:rPr>
        <w:t xml:space="preserve"> that it ought to be given effect in spirit:</w:t>
      </w:r>
      <w:r>
        <w:rPr>
          <w:rFonts w:ascii="Tahoma" w:hAnsi="Tahoma" w:cs="Tahoma"/>
          <w:sz w:val="24"/>
          <w:szCs w:val="24"/>
        </w:rPr>
        <w:t xml:space="preserve"> </w:t>
      </w:r>
    </w:p>
    <w:p w:rsidR="00DA1D51" w:rsidRDefault="00DA1D51" w:rsidP="002068E9">
      <w:pPr>
        <w:autoSpaceDE w:val="0"/>
        <w:autoSpaceDN w:val="0"/>
        <w:adjustRightInd w:val="0"/>
        <w:spacing w:after="0" w:line="240" w:lineRule="auto"/>
        <w:ind w:left="1440" w:right="1440"/>
        <w:jc w:val="both"/>
        <w:rPr>
          <w:rFonts w:ascii="Tahoma" w:hAnsi="Tahoma" w:cs="Tahoma"/>
          <w:sz w:val="24"/>
          <w:szCs w:val="24"/>
        </w:rPr>
      </w:pPr>
    </w:p>
    <w:p w:rsidR="002068E9" w:rsidRPr="002068E9" w:rsidRDefault="002068E9" w:rsidP="002068E9">
      <w:pPr>
        <w:autoSpaceDE w:val="0"/>
        <w:autoSpaceDN w:val="0"/>
        <w:adjustRightInd w:val="0"/>
        <w:spacing w:after="0" w:line="240" w:lineRule="auto"/>
        <w:ind w:left="1440" w:right="1440"/>
        <w:jc w:val="both"/>
        <w:rPr>
          <w:rFonts w:ascii="Tahoma" w:hAnsi="Tahoma" w:cs="Tahoma"/>
          <w:sz w:val="24"/>
          <w:szCs w:val="24"/>
        </w:rPr>
      </w:pPr>
      <w:r>
        <w:rPr>
          <w:rFonts w:ascii="Tahoma" w:hAnsi="Tahoma" w:cs="Tahoma"/>
          <w:sz w:val="24"/>
          <w:szCs w:val="24"/>
        </w:rPr>
        <w:t>“</w:t>
      </w:r>
      <w:r w:rsidRPr="002068E9">
        <w:rPr>
          <w:rFonts w:ascii="Tahoma" w:hAnsi="Tahoma" w:cs="Tahoma"/>
          <w:sz w:val="24"/>
          <w:szCs w:val="24"/>
        </w:rPr>
        <w:t xml:space="preserve">Their lordships consider that the principle stated by </w:t>
      </w:r>
      <w:proofErr w:type="spellStart"/>
      <w:r w:rsidRPr="002068E9">
        <w:rPr>
          <w:rFonts w:ascii="Tahoma" w:hAnsi="Tahoma" w:cs="Tahoma"/>
          <w:sz w:val="24"/>
          <w:szCs w:val="24"/>
        </w:rPr>
        <w:t>Hobhouse</w:t>
      </w:r>
      <w:proofErr w:type="spellEnd"/>
      <w:r w:rsidRPr="002068E9">
        <w:rPr>
          <w:rFonts w:ascii="Tahoma" w:hAnsi="Tahoma" w:cs="Tahoma"/>
          <w:sz w:val="24"/>
          <w:szCs w:val="24"/>
        </w:rPr>
        <w:t xml:space="preserve"> LJ in</w:t>
      </w:r>
      <w:r w:rsidRPr="002068E9">
        <w:rPr>
          <w:rFonts w:ascii="Tahoma" w:hAnsi="Tahoma" w:cs="Tahoma"/>
          <w:i/>
          <w:iCs/>
          <w:sz w:val="24"/>
          <w:szCs w:val="24"/>
        </w:rPr>
        <w:t xml:space="preserve"> R v </w:t>
      </w:r>
      <w:proofErr w:type="spellStart"/>
      <w:r w:rsidRPr="002068E9">
        <w:rPr>
          <w:rFonts w:ascii="Tahoma" w:hAnsi="Tahoma" w:cs="Tahoma"/>
          <w:i/>
          <w:iCs/>
          <w:sz w:val="24"/>
          <w:szCs w:val="24"/>
        </w:rPr>
        <w:t>Popat</w:t>
      </w:r>
      <w:proofErr w:type="spellEnd"/>
      <w:r w:rsidRPr="002068E9">
        <w:rPr>
          <w:rFonts w:ascii="Tahoma" w:hAnsi="Tahoma" w:cs="Tahoma"/>
          <w:sz w:val="24"/>
          <w:szCs w:val="24"/>
        </w:rPr>
        <w:t xml:space="preserve"> at p 215 that in cases of disputed identification ‘there ought to be an identification parade where it would serve a useful purpose’, is one which ought to be followed. It follows that, at any rate in a capital case</w:t>
      </w:r>
      <w:r w:rsidRPr="002068E9">
        <w:rPr>
          <w:rFonts w:ascii="Tahoma" w:hAnsi="Tahoma" w:cs="Tahoma"/>
          <w:b/>
          <w:bCs/>
          <w:sz w:val="24"/>
          <w:szCs w:val="24"/>
        </w:rPr>
        <w:t xml:space="preserve"> </w:t>
      </w:r>
      <w:r w:rsidRPr="002068E9">
        <w:rPr>
          <w:rFonts w:ascii="Tahoma" w:hAnsi="Tahoma" w:cs="Tahoma"/>
          <w:sz w:val="24"/>
          <w:szCs w:val="24"/>
        </w:rPr>
        <w:t xml:space="preserve">such as this, it would have been good practice for the police to have held an identification parade unless it was clear that there was no point in doing so. This would have been the case if it was accepted, or incapable of serious dispute, that the accused were known to the identification witness. At least in the case of </w:t>
      </w:r>
      <w:proofErr w:type="spellStart"/>
      <w:r w:rsidRPr="002068E9">
        <w:rPr>
          <w:rFonts w:ascii="Tahoma" w:hAnsi="Tahoma" w:cs="Tahoma"/>
          <w:sz w:val="24"/>
          <w:szCs w:val="24"/>
        </w:rPr>
        <w:t>McGlashan</w:t>
      </w:r>
      <w:proofErr w:type="spellEnd"/>
      <w:r w:rsidRPr="002068E9">
        <w:rPr>
          <w:rFonts w:ascii="Tahoma" w:hAnsi="Tahoma" w:cs="Tahoma"/>
          <w:sz w:val="24"/>
          <w:szCs w:val="24"/>
        </w:rPr>
        <w:t>, that does not appear to have been the position here.</w:t>
      </w:r>
      <w:r w:rsidR="00DA1D51">
        <w:rPr>
          <w:rFonts w:ascii="Tahoma" w:hAnsi="Tahoma" w:cs="Tahoma"/>
          <w:sz w:val="24"/>
          <w:szCs w:val="24"/>
        </w:rPr>
        <w:t>”</w:t>
      </w:r>
    </w:p>
    <w:p w:rsidR="002068E9" w:rsidRDefault="002068E9" w:rsidP="002068E9">
      <w:pPr>
        <w:autoSpaceDE w:val="0"/>
        <w:autoSpaceDN w:val="0"/>
        <w:adjustRightInd w:val="0"/>
        <w:spacing w:after="0" w:line="240" w:lineRule="auto"/>
        <w:rPr>
          <w:rFonts w:ascii="Times New Roman" w:hAnsi="Times New Roman" w:cs="Times New Roman"/>
          <w:sz w:val="24"/>
          <w:szCs w:val="24"/>
        </w:rPr>
      </w:pPr>
    </w:p>
    <w:p w:rsidR="001F2DE4" w:rsidRDefault="00DA1D51" w:rsidP="001F2DE4">
      <w:pPr>
        <w:spacing w:before="100" w:beforeAutospacing="1" w:after="100" w:afterAutospacing="1" w:line="480" w:lineRule="auto"/>
        <w:jc w:val="both"/>
        <w:rPr>
          <w:rFonts w:ascii="Tahoma" w:hAnsi="Tahoma" w:cs="Tahoma"/>
          <w:sz w:val="24"/>
          <w:szCs w:val="24"/>
        </w:rPr>
      </w:pPr>
      <w:r w:rsidRPr="00B77CB6">
        <w:rPr>
          <w:rFonts w:ascii="Tahoma" w:hAnsi="Tahoma" w:cs="Tahoma"/>
          <w:sz w:val="24"/>
          <w:szCs w:val="24"/>
        </w:rPr>
        <w:t xml:space="preserve">16.   In the result, the Board concluded that there no substantial miscarriage of justice had been caused by the failure to hold an identification parade in this case. But it is </w:t>
      </w:r>
      <w:r w:rsidR="00B16B28">
        <w:rPr>
          <w:rFonts w:ascii="Tahoma" w:hAnsi="Tahoma" w:cs="Tahoma"/>
          <w:sz w:val="24"/>
          <w:szCs w:val="24"/>
        </w:rPr>
        <w:t>obvious</w:t>
      </w:r>
      <w:r w:rsidRPr="00B77CB6">
        <w:rPr>
          <w:rFonts w:ascii="Tahoma" w:hAnsi="Tahoma" w:cs="Tahoma"/>
          <w:sz w:val="24"/>
          <w:szCs w:val="24"/>
        </w:rPr>
        <w:t xml:space="preserve"> that the decision provides clear authority for a somewhat more flexible approach to the question of whether and in what circumstances an identification parade should be held</w:t>
      </w:r>
      <w:r w:rsidR="00B542C2" w:rsidRPr="00B77CB6">
        <w:rPr>
          <w:rFonts w:ascii="Tahoma" w:hAnsi="Tahoma" w:cs="Tahoma"/>
          <w:sz w:val="24"/>
          <w:szCs w:val="24"/>
        </w:rPr>
        <w:t>, even in a recognition case,</w:t>
      </w:r>
      <w:r w:rsidRPr="00B77CB6">
        <w:rPr>
          <w:rFonts w:ascii="Tahoma" w:hAnsi="Tahoma" w:cs="Tahoma"/>
          <w:sz w:val="24"/>
          <w:szCs w:val="24"/>
        </w:rPr>
        <w:t xml:space="preserve"> by assimilating the common law considerations to those established by </w:t>
      </w:r>
      <w:r w:rsidR="00B542C2" w:rsidRPr="00B77CB6">
        <w:rPr>
          <w:rFonts w:ascii="Tahoma" w:hAnsi="Tahoma" w:cs="Tahoma"/>
          <w:sz w:val="24"/>
          <w:szCs w:val="24"/>
        </w:rPr>
        <w:t xml:space="preserve">an English </w:t>
      </w:r>
      <w:r w:rsidRPr="00B77CB6">
        <w:rPr>
          <w:rFonts w:ascii="Tahoma" w:hAnsi="Tahoma" w:cs="Tahoma"/>
          <w:sz w:val="24"/>
          <w:szCs w:val="24"/>
        </w:rPr>
        <w:t>code of practice with statutory effect.</w:t>
      </w:r>
    </w:p>
    <w:p w:rsidR="004E1601" w:rsidRPr="004E1601" w:rsidRDefault="004E1601" w:rsidP="004E1601">
      <w:pPr>
        <w:spacing w:before="100" w:beforeAutospacing="1" w:after="100" w:afterAutospacing="1" w:line="480" w:lineRule="auto"/>
        <w:jc w:val="both"/>
        <w:rPr>
          <w:rFonts w:ascii="Tahoma" w:eastAsia="Times New Roman" w:hAnsi="Tahoma" w:cs="Tahoma"/>
          <w:color w:val="000000"/>
          <w:sz w:val="24"/>
          <w:szCs w:val="24"/>
        </w:rPr>
      </w:pPr>
      <w:r>
        <w:rPr>
          <w:rFonts w:ascii="Tahoma" w:hAnsi="Tahoma" w:cs="Tahoma"/>
          <w:sz w:val="24"/>
          <w:szCs w:val="24"/>
        </w:rPr>
        <w:t xml:space="preserve">17.   </w:t>
      </w:r>
      <w:r w:rsidRPr="004E1601">
        <w:rPr>
          <w:rFonts w:ascii="Tahoma" w:hAnsi="Tahoma" w:cs="Tahoma"/>
          <w:sz w:val="24"/>
          <w:szCs w:val="24"/>
        </w:rPr>
        <w:t xml:space="preserve">For a similar approach with regard to an aspect of the conduct of identification parades, reference may also be made to </w:t>
      </w:r>
      <w:r w:rsidRPr="004E1601">
        <w:rPr>
          <w:rFonts w:ascii="Tahoma" w:hAnsi="Tahoma" w:cs="Tahoma"/>
          <w:b/>
          <w:sz w:val="24"/>
          <w:szCs w:val="24"/>
        </w:rPr>
        <w:t>Ken Charles v R</w:t>
      </w:r>
      <w:r w:rsidRPr="004E1601">
        <w:rPr>
          <w:rStyle w:val="FootnoteReference"/>
          <w:rFonts w:ascii="Tahoma" w:hAnsi="Tahoma" w:cs="Tahoma"/>
          <w:sz w:val="24"/>
          <w:szCs w:val="24"/>
        </w:rPr>
        <w:footnoteReference w:id="24"/>
      </w:r>
      <w:r w:rsidRPr="004E1601">
        <w:rPr>
          <w:rFonts w:ascii="Tahoma" w:hAnsi="Tahoma" w:cs="Tahoma"/>
          <w:sz w:val="24"/>
          <w:szCs w:val="24"/>
        </w:rPr>
        <w:t xml:space="preserve">, an appeal from St Vincent &amp; The Grenadines. In that case, after referring to </w:t>
      </w:r>
      <w:bookmarkStart w:id="4" w:name="para11"/>
      <w:r w:rsidRPr="004E1601">
        <w:rPr>
          <w:rFonts w:ascii="Tahoma" w:hAnsi="Tahoma" w:cs="Tahoma"/>
          <w:sz w:val="24"/>
          <w:szCs w:val="24"/>
        </w:rPr>
        <w:t xml:space="preserve">the </w:t>
      </w:r>
      <w:r w:rsidRPr="004E1601">
        <w:rPr>
          <w:rFonts w:ascii="Tahoma" w:eastAsia="Times New Roman" w:hAnsi="Tahoma" w:cs="Tahoma"/>
          <w:color w:val="000000"/>
          <w:sz w:val="24"/>
          <w:szCs w:val="24"/>
        </w:rPr>
        <w:t xml:space="preserve">Code of Practice D, Annex B, </w:t>
      </w:r>
      <w:proofErr w:type="gramStart"/>
      <w:r w:rsidRPr="004E1601">
        <w:rPr>
          <w:rFonts w:ascii="Tahoma" w:eastAsia="Times New Roman" w:hAnsi="Tahoma" w:cs="Tahoma"/>
          <w:color w:val="000000"/>
          <w:sz w:val="24"/>
          <w:szCs w:val="24"/>
        </w:rPr>
        <w:t>para</w:t>
      </w:r>
      <w:proofErr w:type="gramEnd"/>
      <w:r w:rsidRPr="004E1601">
        <w:rPr>
          <w:rFonts w:ascii="Tahoma" w:eastAsia="Times New Roman" w:hAnsi="Tahoma" w:cs="Tahoma"/>
          <w:color w:val="000000"/>
          <w:sz w:val="24"/>
          <w:szCs w:val="24"/>
        </w:rPr>
        <w:t xml:space="preserve">. 9, made under </w:t>
      </w:r>
      <w:r w:rsidR="002F48AB">
        <w:rPr>
          <w:rFonts w:ascii="Tahoma" w:eastAsia="Times New Roman" w:hAnsi="Tahoma" w:cs="Tahoma"/>
          <w:color w:val="000000"/>
          <w:sz w:val="24"/>
          <w:szCs w:val="24"/>
        </w:rPr>
        <w:t>PACE</w:t>
      </w:r>
      <w:r w:rsidRPr="004E1601">
        <w:rPr>
          <w:rFonts w:ascii="Tahoma" w:eastAsia="Times New Roman" w:hAnsi="Tahoma" w:cs="Tahoma"/>
          <w:color w:val="000000"/>
          <w:sz w:val="24"/>
          <w:szCs w:val="24"/>
        </w:rPr>
        <w:t xml:space="preserve">, Lord </w:t>
      </w:r>
      <w:proofErr w:type="spellStart"/>
      <w:r w:rsidRPr="004E1601">
        <w:rPr>
          <w:rFonts w:ascii="Tahoma" w:eastAsia="Times New Roman" w:hAnsi="Tahoma" w:cs="Tahoma"/>
          <w:color w:val="000000"/>
          <w:sz w:val="24"/>
          <w:szCs w:val="24"/>
        </w:rPr>
        <w:t>Carswell</w:t>
      </w:r>
      <w:proofErr w:type="spellEnd"/>
      <w:r w:rsidRPr="004E1601">
        <w:rPr>
          <w:rFonts w:ascii="Tahoma" w:eastAsia="Times New Roman" w:hAnsi="Tahoma" w:cs="Tahoma"/>
          <w:color w:val="000000"/>
          <w:sz w:val="24"/>
          <w:szCs w:val="24"/>
        </w:rPr>
        <w:t xml:space="preserve"> observed</w:t>
      </w:r>
      <w:r>
        <w:rPr>
          <w:rStyle w:val="FootnoteReference"/>
          <w:rFonts w:ascii="Tahoma" w:eastAsia="Times New Roman" w:hAnsi="Tahoma" w:cs="Tahoma"/>
          <w:color w:val="000000"/>
          <w:sz w:val="24"/>
          <w:szCs w:val="24"/>
        </w:rPr>
        <w:footnoteReference w:id="25"/>
      </w:r>
      <w:r w:rsidRPr="004E1601">
        <w:rPr>
          <w:rFonts w:ascii="Tahoma" w:eastAsia="Times New Roman" w:hAnsi="Tahoma" w:cs="Tahoma"/>
          <w:color w:val="000000"/>
          <w:sz w:val="24"/>
          <w:szCs w:val="24"/>
        </w:rPr>
        <w:t xml:space="preserve"> that “[t]his Code has not been </w:t>
      </w:r>
      <w:r w:rsidRPr="004E1601">
        <w:rPr>
          <w:rFonts w:ascii="Tahoma" w:eastAsia="Times New Roman" w:hAnsi="Tahoma" w:cs="Tahoma"/>
          <w:color w:val="000000"/>
          <w:sz w:val="24"/>
          <w:szCs w:val="24"/>
        </w:rPr>
        <w:lastRenderedPageBreak/>
        <w:t>enacted in St Vincent and the Grenadines, but it would be a desirable practice to follow it where feasible”. And further</w:t>
      </w:r>
      <w:r>
        <w:rPr>
          <w:rStyle w:val="FootnoteReference"/>
          <w:rFonts w:ascii="Tahoma" w:eastAsia="Times New Roman" w:hAnsi="Tahoma" w:cs="Tahoma"/>
          <w:color w:val="000000"/>
          <w:sz w:val="24"/>
          <w:szCs w:val="24"/>
        </w:rPr>
        <w:footnoteReference w:id="26"/>
      </w:r>
      <w:r w:rsidRPr="004E1601">
        <w:rPr>
          <w:rFonts w:ascii="Tahoma" w:eastAsia="Times New Roman" w:hAnsi="Tahoma" w:cs="Tahoma"/>
          <w:color w:val="000000"/>
          <w:sz w:val="24"/>
          <w:szCs w:val="24"/>
        </w:rPr>
        <w:t>, “</w:t>
      </w:r>
      <w:bookmarkStart w:id="5" w:name="para12"/>
      <w:bookmarkEnd w:id="4"/>
      <w:r w:rsidRPr="004E1601">
        <w:rPr>
          <w:rFonts w:ascii="Tahoma" w:eastAsia="Times New Roman" w:hAnsi="Tahoma" w:cs="Tahoma"/>
          <w:color w:val="000000"/>
          <w:sz w:val="24"/>
          <w:szCs w:val="24"/>
        </w:rPr>
        <w:t>The rules applicable in England and Wales under Code of Practice D, although not binding, form a reliable basis for good practice.”</w:t>
      </w:r>
      <w:r>
        <w:rPr>
          <w:rStyle w:val="FootnoteReference"/>
          <w:rFonts w:ascii="Tahoma" w:eastAsia="Times New Roman" w:hAnsi="Tahoma" w:cs="Tahoma"/>
          <w:color w:val="000000"/>
          <w:sz w:val="24"/>
          <w:szCs w:val="24"/>
        </w:rPr>
        <w:footnoteReference w:id="27"/>
      </w:r>
      <w:r w:rsidRPr="004E1601">
        <w:rPr>
          <w:rFonts w:ascii="Tahoma" w:eastAsia="Times New Roman" w:hAnsi="Tahoma" w:cs="Tahoma"/>
          <w:color w:val="000000"/>
          <w:sz w:val="24"/>
          <w:szCs w:val="24"/>
        </w:rPr>
        <w:t> </w:t>
      </w:r>
      <w:bookmarkEnd w:id="5"/>
      <w:r w:rsidR="00315A2C">
        <w:rPr>
          <w:rFonts w:ascii="Tahoma" w:eastAsia="Times New Roman" w:hAnsi="Tahoma" w:cs="Tahoma"/>
          <w:color w:val="000000"/>
          <w:sz w:val="24"/>
          <w:szCs w:val="24"/>
        </w:rPr>
        <w:t>In</w:t>
      </w:r>
      <w:r w:rsidRPr="004E1601">
        <w:rPr>
          <w:rFonts w:ascii="Tahoma" w:eastAsia="Times New Roman" w:hAnsi="Tahoma" w:cs="Tahoma"/>
          <w:color w:val="000000"/>
          <w:sz w:val="24"/>
          <w:szCs w:val="24"/>
        </w:rPr>
        <w:t xml:space="preserve"> </w:t>
      </w:r>
      <w:r w:rsidR="00315A2C">
        <w:rPr>
          <w:rFonts w:ascii="Tahoma" w:eastAsia="Times New Roman" w:hAnsi="Tahoma" w:cs="Tahoma"/>
          <w:color w:val="000000"/>
          <w:sz w:val="24"/>
          <w:szCs w:val="24"/>
        </w:rPr>
        <w:t xml:space="preserve">the </w:t>
      </w:r>
      <w:proofErr w:type="spellStart"/>
      <w:r w:rsidR="00315A2C">
        <w:rPr>
          <w:rFonts w:ascii="Tahoma" w:eastAsia="Times New Roman" w:hAnsi="Tahoma" w:cs="Tahoma"/>
          <w:color w:val="000000"/>
          <w:sz w:val="24"/>
          <w:szCs w:val="24"/>
        </w:rPr>
        <w:t>later</w:t>
      </w:r>
      <w:proofErr w:type="spellEnd"/>
      <w:r w:rsidR="00315A2C">
        <w:rPr>
          <w:rFonts w:ascii="Tahoma" w:eastAsia="Times New Roman" w:hAnsi="Tahoma" w:cs="Tahoma"/>
          <w:color w:val="000000"/>
          <w:sz w:val="24"/>
          <w:szCs w:val="24"/>
        </w:rPr>
        <w:t xml:space="preserve"> case of </w:t>
      </w:r>
      <w:proofErr w:type="spellStart"/>
      <w:r w:rsidRPr="004E1601">
        <w:rPr>
          <w:rFonts w:ascii="Tahoma" w:eastAsia="Times New Roman" w:hAnsi="Tahoma" w:cs="Tahoma"/>
          <w:b/>
          <w:color w:val="000000"/>
          <w:sz w:val="24"/>
          <w:szCs w:val="24"/>
        </w:rPr>
        <w:t>Nyron</w:t>
      </w:r>
      <w:proofErr w:type="spellEnd"/>
      <w:r w:rsidRPr="004E1601">
        <w:rPr>
          <w:rFonts w:ascii="Tahoma" w:eastAsia="Times New Roman" w:hAnsi="Tahoma" w:cs="Tahoma"/>
          <w:b/>
          <w:color w:val="000000"/>
          <w:sz w:val="24"/>
          <w:szCs w:val="24"/>
        </w:rPr>
        <w:t xml:space="preserve"> Smith v R</w:t>
      </w:r>
      <w:r w:rsidR="00315A2C" w:rsidRPr="00315A2C">
        <w:rPr>
          <w:rStyle w:val="FootnoteReference"/>
          <w:rFonts w:ascii="Tahoma" w:eastAsia="Times New Roman" w:hAnsi="Tahoma" w:cs="Tahoma"/>
          <w:color w:val="000000"/>
          <w:sz w:val="24"/>
          <w:szCs w:val="24"/>
        </w:rPr>
        <w:footnoteReference w:id="28"/>
      </w:r>
      <w:r w:rsidRPr="004E1601">
        <w:rPr>
          <w:rFonts w:ascii="Tahoma" w:eastAsia="Times New Roman" w:hAnsi="Tahoma" w:cs="Tahoma"/>
          <w:color w:val="000000"/>
          <w:sz w:val="24"/>
          <w:szCs w:val="24"/>
        </w:rPr>
        <w:t xml:space="preserve">, a Jamaican appeal, Lord </w:t>
      </w:r>
      <w:proofErr w:type="spellStart"/>
      <w:r w:rsidRPr="004E1601">
        <w:rPr>
          <w:rFonts w:ascii="Tahoma" w:eastAsia="Times New Roman" w:hAnsi="Tahoma" w:cs="Tahoma"/>
          <w:color w:val="000000"/>
          <w:sz w:val="24"/>
          <w:szCs w:val="24"/>
        </w:rPr>
        <w:t>Carswell</w:t>
      </w:r>
      <w:proofErr w:type="spellEnd"/>
      <w:r w:rsidRPr="004E1601">
        <w:rPr>
          <w:rFonts w:ascii="Tahoma" w:eastAsia="Times New Roman" w:hAnsi="Tahoma" w:cs="Tahoma"/>
          <w:color w:val="000000"/>
          <w:sz w:val="24"/>
          <w:szCs w:val="24"/>
        </w:rPr>
        <w:t xml:space="preserve"> </w:t>
      </w:r>
      <w:r w:rsidR="00315A2C">
        <w:rPr>
          <w:rFonts w:ascii="Tahoma" w:eastAsia="Times New Roman" w:hAnsi="Tahoma" w:cs="Tahoma"/>
          <w:color w:val="000000"/>
          <w:sz w:val="24"/>
          <w:szCs w:val="24"/>
        </w:rPr>
        <w:t xml:space="preserve">also </w:t>
      </w:r>
      <w:r w:rsidRPr="004E1601">
        <w:rPr>
          <w:rFonts w:ascii="Tahoma" w:eastAsia="Times New Roman" w:hAnsi="Tahoma" w:cs="Tahoma"/>
          <w:color w:val="000000"/>
          <w:sz w:val="24"/>
          <w:szCs w:val="24"/>
        </w:rPr>
        <w:t>made the same point: “</w:t>
      </w:r>
      <w:r w:rsidRPr="004E1601">
        <w:rPr>
          <w:rFonts w:ascii="Tahoma" w:hAnsi="Tahoma" w:cs="Tahoma"/>
          <w:color w:val="000000"/>
          <w:sz w:val="24"/>
          <w:szCs w:val="24"/>
        </w:rPr>
        <w:t>In jurisdictions where such mandatory provisions do not apply, their Lordships consider that…it should be regarded as desirable practice to hold an identification parade where there has been an identification which is disputed by the suspect.”</w:t>
      </w:r>
    </w:p>
    <w:p w:rsidR="001F2DE4" w:rsidRDefault="001F2DE4" w:rsidP="001F2DE4">
      <w:pPr>
        <w:spacing w:before="100" w:beforeAutospacing="1" w:after="100" w:afterAutospacing="1" w:line="480" w:lineRule="auto"/>
        <w:jc w:val="both"/>
        <w:rPr>
          <w:rFonts w:ascii="Tahoma" w:eastAsia="Times New Roman" w:hAnsi="Tahoma" w:cs="Tahoma"/>
          <w:color w:val="000000"/>
          <w:sz w:val="24"/>
          <w:szCs w:val="24"/>
        </w:rPr>
      </w:pPr>
      <w:r>
        <w:rPr>
          <w:rFonts w:ascii="Tahoma" w:hAnsi="Tahoma" w:cs="Tahoma"/>
          <w:sz w:val="24"/>
          <w:szCs w:val="24"/>
        </w:rPr>
        <w:t>1</w:t>
      </w:r>
      <w:r w:rsidR="00315A2C">
        <w:rPr>
          <w:rFonts w:ascii="Tahoma" w:hAnsi="Tahoma" w:cs="Tahoma"/>
          <w:sz w:val="24"/>
          <w:szCs w:val="24"/>
        </w:rPr>
        <w:t>8</w:t>
      </w:r>
      <w:r>
        <w:rPr>
          <w:rFonts w:ascii="Tahoma" w:hAnsi="Tahoma" w:cs="Tahoma"/>
          <w:sz w:val="24"/>
          <w:szCs w:val="24"/>
        </w:rPr>
        <w:t>.</w:t>
      </w:r>
      <w:r w:rsidR="00B542C2" w:rsidRPr="00B77CB6">
        <w:rPr>
          <w:rFonts w:ascii="Tahoma" w:hAnsi="Tahoma" w:cs="Tahoma"/>
          <w:sz w:val="24"/>
          <w:szCs w:val="24"/>
        </w:rPr>
        <w:t xml:space="preserve"> </w:t>
      </w:r>
      <w:r>
        <w:rPr>
          <w:rFonts w:ascii="Tahoma" w:hAnsi="Tahoma" w:cs="Tahoma"/>
          <w:sz w:val="24"/>
          <w:szCs w:val="24"/>
        </w:rPr>
        <w:t xml:space="preserve">  </w:t>
      </w:r>
      <w:proofErr w:type="spellStart"/>
      <w:r w:rsidR="00C63F6F" w:rsidRPr="00B77CB6">
        <w:rPr>
          <w:rFonts w:ascii="Tahoma" w:eastAsia="Times New Roman" w:hAnsi="Tahoma" w:cs="Tahoma"/>
          <w:b/>
          <w:color w:val="000000"/>
          <w:sz w:val="24"/>
          <w:szCs w:val="24"/>
        </w:rPr>
        <w:t>Goldson</w:t>
      </w:r>
      <w:proofErr w:type="spellEnd"/>
      <w:r w:rsidR="00C63F6F" w:rsidRPr="00B77CB6">
        <w:rPr>
          <w:rFonts w:ascii="Tahoma" w:eastAsia="Times New Roman" w:hAnsi="Tahoma" w:cs="Tahoma"/>
          <w:b/>
          <w:color w:val="000000"/>
          <w:sz w:val="24"/>
          <w:szCs w:val="24"/>
        </w:rPr>
        <w:t xml:space="preserve"> &amp; </w:t>
      </w:r>
      <w:proofErr w:type="spellStart"/>
      <w:r w:rsidR="00C63F6F" w:rsidRPr="00B77CB6">
        <w:rPr>
          <w:rFonts w:ascii="Tahoma" w:eastAsia="Times New Roman" w:hAnsi="Tahoma" w:cs="Tahoma"/>
          <w:b/>
          <w:color w:val="000000"/>
          <w:sz w:val="24"/>
          <w:szCs w:val="24"/>
        </w:rPr>
        <w:t>McGlashan</w:t>
      </w:r>
      <w:proofErr w:type="spellEnd"/>
      <w:r w:rsidR="00C63F6F">
        <w:rPr>
          <w:rFonts w:ascii="Tahoma" w:hAnsi="Tahoma" w:cs="Tahoma"/>
          <w:sz w:val="24"/>
          <w:szCs w:val="24"/>
        </w:rPr>
        <w:t xml:space="preserve"> was applied in </w:t>
      </w:r>
      <w:proofErr w:type="spellStart"/>
      <w:r w:rsidR="00B542C2" w:rsidRPr="00B77CB6">
        <w:rPr>
          <w:rFonts w:ascii="Tahoma" w:hAnsi="Tahoma" w:cs="Tahoma"/>
          <w:b/>
          <w:sz w:val="24"/>
          <w:szCs w:val="24"/>
        </w:rPr>
        <w:t>Ebanks</w:t>
      </w:r>
      <w:proofErr w:type="spellEnd"/>
      <w:r w:rsidR="00B542C2" w:rsidRPr="00B77CB6">
        <w:rPr>
          <w:rFonts w:ascii="Tahoma" w:hAnsi="Tahoma" w:cs="Tahoma"/>
          <w:b/>
          <w:sz w:val="24"/>
          <w:szCs w:val="24"/>
        </w:rPr>
        <w:t xml:space="preserve"> v R</w:t>
      </w:r>
      <w:r w:rsidR="00B542C2" w:rsidRPr="00B77CB6">
        <w:rPr>
          <w:rStyle w:val="FootnoteReference"/>
          <w:rFonts w:ascii="Tahoma" w:hAnsi="Tahoma" w:cs="Tahoma"/>
          <w:sz w:val="24"/>
          <w:szCs w:val="24"/>
        </w:rPr>
        <w:footnoteReference w:id="29"/>
      </w:r>
      <w:r w:rsidR="00C63F6F" w:rsidRPr="00C63F6F">
        <w:rPr>
          <w:rFonts w:ascii="Tahoma" w:hAnsi="Tahoma" w:cs="Tahoma"/>
          <w:sz w:val="24"/>
          <w:szCs w:val="24"/>
        </w:rPr>
        <w:t>, which</w:t>
      </w:r>
      <w:r w:rsidR="00C63F6F">
        <w:rPr>
          <w:rFonts w:ascii="Tahoma" w:hAnsi="Tahoma" w:cs="Tahoma"/>
          <w:b/>
          <w:sz w:val="24"/>
          <w:szCs w:val="24"/>
        </w:rPr>
        <w:t xml:space="preserve"> </w:t>
      </w:r>
      <w:r w:rsidR="00B77CB6" w:rsidRPr="00B77CB6">
        <w:rPr>
          <w:rFonts w:ascii="Tahoma" w:hAnsi="Tahoma" w:cs="Tahoma"/>
          <w:sz w:val="24"/>
          <w:szCs w:val="24"/>
        </w:rPr>
        <w:t xml:space="preserve">was also </w:t>
      </w:r>
      <w:r w:rsidR="00B542C2" w:rsidRPr="00B77CB6">
        <w:rPr>
          <w:rFonts w:ascii="Tahoma" w:hAnsi="Tahoma" w:cs="Tahoma"/>
          <w:sz w:val="24"/>
          <w:szCs w:val="24"/>
        </w:rPr>
        <w:t>a recognition case</w:t>
      </w:r>
      <w:r w:rsidR="00B77CB6">
        <w:rPr>
          <w:rFonts w:ascii="Tahoma" w:hAnsi="Tahoma" w:cs="Tahoma"/>
          <w:sz w:val="24"/>
          <w:szCs w:val="24"/>
        </w:rPr>
        <w:t xml:space="preserve">. </w:t>
      </w:r>
      <w:r w:rsidR="00C63F6F">
        <w:rPr>
          <w:rFonts w:ascii="Tahoma" w:hAnsi="Tahoma" w:cs="Tahoma"/>
          <w:sz w:val="24"/>
          <w:szCs w:val="24"/>
        </w:rPr>
        <w:t>In that case, a</w:t>
      </w:r>
      <w:r w:rsidR="002A1348" w:rsidRPr="00B77CB6">
        <w:rPr>
          <w:rFonts w:ascii="Tahoma" w:hAnsi="Tahoma" w:cs="Tahoma"/>
          <w:sz w:val="24"/>
          <w:szCs w:val="24"/>
        </w:rPr>
        <w:t>n identification parade was in fact held,</w:t>
      </w:r>
      <w:r w:rsidR="00B542C2" w:rsidRPr="00B77CB6">
        <w:rPr>
          <w:rFonts w:ascii="Tahoma" w:hAnsi="Tahoma" w:cs="Tahoma"/>
          <w:sz w:val="24"/>
          <w:szCs w:val="24"/>
        </w:rPr>
        <w:t xml:space="preserve"> </w:t>
      </w:r>
      <w:r w:rsidR="00B77CB6">
        <w:rPr>
          <w:rFonts w:ascii="Tahoma" w:hAnsi="Tahoma" w:cs="Tahoma"/>
          <w:sz w:val="24"/>
          <w:szCs w:val="24"/>
        </w:rPr>
        <w:t xml:space="preserve">but </w:t>
      </w:r>
      <w:r w:rsidR="00B542C2" w:rsidRPr="00B77CB6">
        <w:rPr>
          <w:rFonts w:ascii="Tahoma" w:hAnsi="Tahoma" w:cs="Tahoma"/>
          <w:sz w:val="24"/>
          <w:szCs w:val="24"/>
        </w:rPr>
        <w:t xml:space="preserve">the trial judge expressed the view that </w:t>
      </w:r>
      <w:r w:rsidR="002A1348" w:rsidRPr="00B77CB6">
        <w:rPr>
          <w:rFonts w:ascii="Tahoma" w:hAnsi="Tahoma" w:cs="Tahoma"/>
          <w:sz w:val="24"/>
          <w:szCs w:val="24"/>
        </w:rPr>
        <w:t>“[</w:t>
      </w:r>
      <w:proofErr w:type="spellStart"/>
      <w:r w:rsidR="002A1348" w:rsidRPr="00B77CB6">
        <w:rPr>
          <w:rFonts w:ascii="Tahoma" w:hAnsi="Tahoma" w:cs="Tahoma"/>
          <w:sz w:val="24"/>
          <w:szCs w:val="24"/>
        </w:rPr>
        <w:t>i</w:t>
      </w:r>
      <w:proofErr w:type="spellEnd"/>
      <w:r w:rsidR="002A1348" w:rsidRPr="00B77CB6">
        <w:rPr>
          <w:rFonts w:ascii="Tahoma" w:hAnsi="Tahoma" w:cs="Tahoma"/>
          <w:sz w:val="24"/>
          <w:szCs w:val="24"/>
        </w:rPr>
        <w:t xml:space="preserve">]t </w:t>
      </w:r>
      <w:r w:rsidR="002A1348" w:rsidRPr="00B77CB6">
        <w:rPr>
          <w:rFonts w:ascii="Tahoma" w:hAnsi="Tahoma" w:cs="Tahoma"/>
          <w:color w:val="000000"/>
          <w:sz w:val="24"/>
          <w:szCs w:val="24"/>
        </w:rPr>
        <w:t xml:space="preserve">could be said that there was no need for </w:t>
      </w:r>
      <w:r w:rsidR="00B77CB6">
        <w:rPr>
          <w:rFonts w:ascii="Tahoma" w:hAnsi="Tahoma" w:cs="Tahoma"/>
          <w:color w:val="000000"/>
          <w:sz w:val="24"/>
          <w:szCs w:val="24"/>
        </w:rPr>
        <w:t>[one]</w:t>
      </w:r>
      <w:r w:rsidR="002A1348" w:rsidRPr="00B77CB6">
        <w:rPr>
          <w:rFonts w:ascii="Tahoma" w:hAnsi="Tahoma" w:cs="Tahoma"/>
          <w:color w:val="000000"/>
          <w:sz w:val="24"/>
          <w:szCs w:val="24"/>
        </w:rPr>
        <w:t xml:space="preserve">”. </w:t>
      </w:r>
      <w:r w:rsidR="00C63F6F">
        <w:rPr>
          <w:rFonts w:ascii="Tahoma" w:hAnsi="Tahoma" w:cs="Tahoma"/>
          <w:color w:val="000000"/>
          <w:sz w:val="24"/>
          <w:szCs w:val="24"/>
        </w:rPr>
        <w:t>On appeal, the Board</w:t>
      </w:r>
      <w:r w:rsidR="002A1348" w:rsidRPr="00B77CB6">
        <w:rPr>
          <w:rFonts w:ascii="Tahoma" w:hAnsi="Tahoma" w:cs="Tahoma"/>
          <w:color w:val="000000"/>
          <w:sz w:val="24"/>
          <w:szCs w:val="24"/>
        </w:rPr>
        <w:t xml:space="preserve"> drew attention to </w:t>
      </w:r>
      <w:proofErr w:type="spellStart"/>
      <w:r w:rsidR="002A1348" w:rsidRPr="00B77CB6">
        <w:rPr>
          <w:rFonts w:ascii="Tahoma" w:eastAsia="Times New Roman" w:hAnsi="Tahoma" w:cs="Tahoma"/>
          <w:b/>
          <w:color w:val="000000"/>
          <w:sz w:val="24"/>
          <w:szCs w:val="24"/>
        </w:rPr>
        <w:t>Goldson</w:t>
      </w:r>
      <w:proofErr w:type="spellEnd"/>
      <w:r w:rsidR="002A1348" w:rsidRPr="00B77CB6">
        <w:rPr>
          <w:rFonts w:ascii="Tahoma" w:eastAsia="Times New Roman" w:hAnsi="Tahoma" w:cs="Tahoma"/>
          <w:b/>
          <w:color w:val="000000"/>
          <w:sz w:val="24"/>
          <w:szCs w:val="24"/>
        </w:rPr>
        <w:t xml:space="preserve"> &amp; </w:t>
      </w:r>
      <w:proofErr w:type="spellStart"/>
      <w:r w:rsidR="002A1348" w:rsidRPr="00B77CB6">
        <w:rPr>
          <w:rFonts w:ascii="Tahoma" w:eastAsia="Times New Roman" w:hAnsi="Tahoma" w:cs="Tahoma"/>
          <w:b/>
          <w:color w:val="000000"/>
          <w:sz w:val="24"/>
          <w:szCs w:val="24"/>
        </w:rPr>
        <w:t>McGlashan</w:t>
      </w:r>
      <w:proofErr w:type="spellEnd"/>
      <w:r w:rsidR="00B77CB6" w:rsidRPr="00B77CB6">
        <w:rPr>
          <w:rFonts w:ascii="Tahoma" w:eastAsia="Times New Roman" w:hAnsi="Tahoma" w:cs="Tahoma"/>
          <w:color w:val="000000"/>
          <w:sz w:val="24"/>
          <w:szCs w:val="24"/>
        </w:rPr>
        <w:t xml:space="preserve">, as well as to the decision of the English Court of Appeal in </w:t>
      </w:r>
      <w:bookmarkStart w:id="6" w:name="para18"/>
      <w:r w:rsidR="00B77CB6" w:rsidRPr="00B77CB6">
        <w:rPr>
          <w:rFonts w:ascii="Tahoma" w:eastAsia="Times New Roman" w:hAnsi="Tahoma" w:cs="Tahoma"/>
          <w:b/>
          <w:iCs/>
          <w:color w:val="000000"/>
          <w:sz w:val="24"/>
          <w:szCs w:val="24"/>
        </w:rPr>
        <w:t>R v Harris</w:t>
      </w:r>
      <w:r w:rsidR="00B77CB6" w:rsidRPr="00B77CB6">
        <w:rPr>
          <w:rStyle w:val="FootnoteReference"/>
          <w:rFonts w:ascii="Tahoma" w:eastAsia="Times New Roman" w:hAnsi="Tahoma" w:cs="Tahoma"/>
          <w:iCs/>
          <w:color w:val="000000"/>
          <w:sz w:val="24"/>
          <w:szCs w:val="24"/>
        </w:rPr>
        <w:footnoteReference w:id="30"/>
      </w:r>
      <w:r w:rsidR="00B77CB6" w:rsidRPr="00B77CB6">
        <w:rPr>
          <w:rFonts w:ascii="Tahoma" w:eastAsia="Times New Roman" w:hAnsi="Tahoma" w:cs="Tahoma"/>
          <w:color w:val="000000"/>
          <w:sz w:val="24"/>
          <w:szCs w:val="24"/>
        </w:rPr>
        <w:t>, also a disputed recognition case</w:t>
      </w:r>
      <w:r w:rsidR="00C63F6F">
        <w:rPr>
          <w:rFonts w:ascii="Tahoma" w:eastAsia="Times New Roman" w:hAnsi="Tahoma" w:cs="Tahoma"/>
          <w:color w:val="000000"/>
          <w:sz w:val="24"/>
          <w:szCs w:val="24"/>
        </w:rPr>
        <w:t>. In the latter case</w:t>
      </w:r>
      <w:r w:rsidR="00B77CB6" w:rsidRPr="00B77CB6">
        <w:rPr>
          <w:rFonts w:ascii="Tahoma" w:eastAsia="Times New Roman" w:hAnsi="Tahoma" w:cs="Tahoma"/>
          <w:color w:val="000000"/>
          <w:sz w:val="24"/>
          <w:szCs w:val="24"/>
        </w:rPr>
        <w:t xml:space="preserve">, the trial judge had </w:t>
      </w:r>
      <w:r w:rsidR="00C63F6F">
        <w:rPr>
          <w:rFonts w:ascii="Tahoma" w:eastAsia="Times New Roman" w:hAnsi="Tahoma" w:cs="Tahoma"/>
          <w:color w:val="000000"/>
          <w:sz w:val="24"/>
          <w:szCs w:val="24"/>
        </w:rPr>
        <w:t>told</w:t>
      </w:r>
      <w:r w:rsidR="00B77CB6" w:rsidRPr="00B77CB6">
        <w:rPr>
          <w:rFonts w:ascii="Tahoma" w:eastAsia="Times New Roman" w:hAnsi="Tahoma" w:cs="Tahoma"/>
          <w:color w:val="000000"/>
          <w:sz w:val="24"/>
          <w:szCs w:val="24"/>
        </w:rPr>
        <w:t xml:space="preserve"> the jury that</w:t>
      </w:r>
      <w:r w:rsidR="00C63F6F">
        <w:rPr>
          <w:rFonts w:ascii="Tahoma" w:eastAsia="Times New Roman" w:hAnsi="Tahoma" w:cs="Tahoma"/>
          <w:color w:val="000000"/>
          <w:sz w:val="24"/>
          <w:szCs w:val="24"/>
        </w:rPr>
        <w:t>,</w:t>
      </w:r>
      <w:r w:rsidR="00B77CB6" w:rsidRPr="00B77CB6">
        <w:rPr>
          <w:rFonts w:ascii="Tahoma" w:eastAsia="Times New Roman" w:hAnsi="Tahoma" w:cs="Tahoma"/>
          <w:color w:val="000000"/>
          <w:sz w:val="24"/>
          <w:szCs w:val="24"/>
        </w:rPr>
        <w:t xml:space="preserve"> in cases of purported recognition</w:t>
      </w:r>
      <w:r w:rsidR="00315A2C">
        <w:rPr>
          <w:rFonts w:ascii="Tahoma" w:eastAsia="Times New Roman" w:hAnsi="Tahoma" w:cs="Tahoma"/>
          <w:color w:val="000000"/>
          <w:sz w:val="24"/>
          <w:szCs w:val="24"/>
        </w:rPr>
        <w:t>,</w:t>
      </w:r>
      <w:r w:rsidR="00B77CB6" w:rsidRPr="00B77CB6">
        <w:rPr>
          <w:rFonts w:ascii="Tahoma" w:eastAsia="Times New Roman" w:hAnsi="Tahoma" w:cs="Tahoma"/>
          <w:color w:val="000000"/>
          <w:sz w:val="24"/>
          <w:szCs w:val="24"/>
        </w:rPr>
        <w:t xml:space="preserve"> an identification </w:t>
      </w:r>
      <w:r>
        <w:rPr>
          <w:rFonts w:ascii="Tahoma" w:eastAsia="Times New Roman" w:hAnsi="Tahoma" w:cs="Tahoma"/>
          <w:color w:val="000000"/>
          <w:sz w:val="24"/>
          <w:szCs w:val="24"/>
        </w:rPr>
        <w:t xml:space="preserve">parade </w:t>
      </w:r>
      <w:r w:rsidR="00B77CB6" w:rsidRPr="00B77CB6">
        <w:rPr>
          <w:rFonts w:ascii="Tahoma" w:eastAsia="Times New Roman" w:hAnsi="Tahoma" w:cs="Tahoma"/>
          <w:color w:val="000000"/>
          <w:sz w:val="24"/>
          <w:szCs w:val="24"/>
        </w:rPr>
        <w:t xml:space="preserve">would, generally speaking, serve no useful purpose. The Court of </w:t>
      </w:r>
      <w:r w:rsidR="00B77CB6" w:rsidRPr="00B77CB6">
        <w:rPr>
          <w:rFonts w:ascii="Tahoma" w:eastAsia="Times New Roman" w:hAnsi="Tahoma" w:cs="Tahoma"/>
          <w:color w:val="000000"/>
          <w:sz w:val="24"/>
          <w:szCs w:val="24"/>
        </w:rPr>
        <w:lastRenderedPageBreak/>
        <w:t>Appeal held that he was in error and that the conviction was unsafe. Giving the judgment of the court, Potter LJ pointed out</w:t>
      </w:r>
      <w:r w:rsidR="00B77CB6" w:rsidRPr="00B77CB6">
        <w:rPr>
          <w:rStyle w:val="FootnoteReference"/>
          <w:rFonts w:ascii="Tahoma" w:eastAsia="Times New Roman" w:hAnsi="Tahoma" w:cs="Tahoma"/>
          <w:color w:val="000000"/>
          <w:sz w:val="24"/>
          <w:szCs w:val="24"/>
        </w:rPr>
        <w:footnoteReference w:id="31"/>
      </w:r>
      <w:r w:rsidR="00B77CB6" w:rsidRPr="00B77CB6">
        <w:rPr>
          <w:rFonts w:ascii="Tahoma" w:eastAsia="Times New Roman" w:hAnsi="Tahoma" w:cs="Tahoma"/>
          <w:color w:val="000000"/>
          <w:sz w:val="24"/>
          <w:szCs w:val="24"/>
        </w:rPr>
        <w:t xml:space="preserve"> that although the holding of an identification parade in a recognition case put the matter no further from the prosecution</w:t>
      </w:r>
      <w:r w:rsidR="006719F3">
        <w:rPr>
          <w:rFonts w:ascii="Tahoma" w:eastAsia="Times New Roman" w:hAnsi="Tahoma" w:cs="Tahoma"/>
          <w:color w:val="000000"/>
          <w:sz w:val="24"/>
          <w:szCs w:val="24"/>
        </w:rPr>
        <w:t>’s</w:t>
      </w:r>
      <w:r w:rsidR="00B77CB6" w:rsidRPr="00B77CB6">
        <w:rPr>
          <w:rFonts w:ascii="Tahoma" w:eastAsia="Times New Roman" w:hAnsi="Tahoma" w:cs="Tahoma"/>
          <w:color w:val="000000"/>
          <w:sz w:val="24"/>
          <w:szCs w:val="24"/>
        </w:rPr>
        <w:t xml:space="preserve"> point of view, it could be material where the recognition was disputed, since</w:t>
      </w:r>
      <w:bookmarkEnd w:id="6"/>
      <w:r>
        <w:rPr>
          <w:rFonts w:ascii="Tahoma" w:eastAsia="Times New Roman" w:hAnsi="Tahoma" w:cs="Tahoma"/>
          <w:color w:val="000000"/>
          <w:sz w:val="24"/>
          <w:szCs w:val="24"/>
        </w:rPr>
        <w:t xml:space="preserve"> there might be </w:t>
      </w:r>
      <w:r w:rsidR="00B77CB6" w:rsidRPr="00B77CB6">
        <w:rPr>
          <w:rFonts w:ascii="Tahoma" w:eastAsia="Times New Roman" w:hAnsi="Tahoma" w:cs="Tahoma"/>
          <w:color w:val="000000"/>
          <w:sz w:val="24"/>
          <w:szCs w:val="24"/>
        </w:rPr>
        <w:t>"…the possibility of a change of mind and/or a failure to identify the appellant at the identification parade, of which possibility the appellant was, in the end, deprived"</w:t>
      </w:r>
      <w:r>
        <w:rPr>
          <w:rFonts w:ascii="Tahoma" w:eastAsia="Times New Roman" w:hAnsi="Tahoma" w:cs="Tahoma"/>
          <w:color w:val="000000"/>
          <w:sz w:val="24"/>
          <w:szCs w:val="24"/>
        </w:rPr>
        <w:t xml:space="preserve">. </w:t>
      </w:r>
    </w:p>
    <w:p w:rsidR="00B77CB6" w:rsidRDefault="001F2DE4" w:rsidP="001F2DE4">
      <w:pPr>
        <w:spacing w:before="100" w:beforeAutospacing="1" w:after="100" w:afterAutospacing="1"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1</w:t>
      </w:r>
      <w:r w:rsidR="00F73CB2">
        <w:rPr>
          <w:rFonts w:ascii="Tahoma" w:eastAsia="Times New Roman" w:hAnsi="Tahoma" w:cs="Tahoma"/>
          <w:color w:val="000000"/>
          <w:sz w:val="24"/>
          <w:szCs w:val="24"/>
        </w:rPr>
        <w:t>9</w:t>
      </w:r>
      <w:r>
        <w:rPr>
          <w:rFonts w:ascii="Tahoma" w:eastAsia="Times New Roman" w:hAnsi="Tahoma" w:cs="Tahoma"/>
          <w:color w:val="000000"/>
          <w:sz w:val="24"/>
          <w:szCs w:val="24"/>
        </w:rPr>
        <w:t xml:space="preserve">.   </w:t>
      </w:r>
      <w:bookmarkStart w:id="7" w:name="para19"/>
      <w:r w:rsidR="00C63F6F">
        <w:rPr>
          <w:rFonts w:ascii="Tahoma" w:eastAsia="Times New Roman" w:hAnsi="Tahoma" w:cs="Tahoma"/>
          <w:color w:val="000000"/>
          <w:sz w:val="24"/>
          <w:szCs w:val="24"/>
        </w:rPr>
        <w:t>I</w:t>
      </w:r>
      <w:r w:rsidR="00080469">
        <w:rPr>
          <w:rFonts w:ascii="Tahoma" w:eastAsia="Times New Roman" w:hAnsi="Tahoma" w:cs="Tahoma"/>
          <w:color w:val="000000"/>
          <w:sz w:val="24"/>
          <w:szCs w:val="24"/>
        </w:rPr>
        <w:t xml:space="preserve">n </w:t>
      </w:r>
      <w:proofErr w:type="spellStart"/>
      <w:r w:rsidR="00080469" w:rsidRPr="00080469">
        <w:rPr>
          <w:rFonts w:ascii="Tahoma" w:eastAsia="Times New Roman" w:hAnsi="Tahoma" w:cs="Tahoma"/>
          <w:b/>
          <w:color w:val="000000"/>
          <w:sz w:val="24"/>
          <w:szCs w:val="24"/>
        </w:rPr>
        <w:t>Ebanks</w:t>
      </w:r>
      <w:proofErr w:type="spellEnd"/>
      <w:r w:rsidR="00C63F6F" w:rsidRPr="00C63F6F">
        <w:rPr>
          <w:rFonts w:ascii="Tahoma" w:eastAsia="Times New Roman" w:hAnsi="Tahoma" w:cs="Tahoma"/>
          <w:color w:val="000000"/>
          <w:sz w:val="24"/>
          <w:szCs w:val="24"/>
        </w:rPr>
        <w:t>,</w:t>
      </w:r>
      <w:r w:rsidR="00C63F6F">
        <w:rPr>
          <w:rFonts w:ascii="Tahoma" w:eastAsia="Times New Roman" w:hAnsi="Tahoma" w:cs="Tahoma"/>
          <w:b/>
          <w:color w:val="000000"/>
          <w:sz w:val="24"/>
          <w:szCs w:val="24"/>
        </w:rPr>
        <w:t xml:space="preserve"> </w:t>
      </w:r>
      <w:r w:rsidR="00C63F6F" w:rsidRPr="00C63F6F">
        <w:rPr>
          <w:rFonts w:ascii="Tahoma" w:eastAsia="Times New Roman" w:hAnsi="Tahoma" w:cs="Tahoma"/>
          <w:color w:val="000000"/>
          <w:sz w:val="24"/>
          <w:szCs w:val="24"/>
        </w:rPr>
        <w:t>the</w:t>
      </w:r>
      <w:r w:rsidR="00C63F6F">
        <w:rPr>
          <w:rFonts w:ascii="Tahoma" w:eastAsia="Times New Roman" w:hAnsi="Tahoma" w:cs="Tahoma"/>
          <w:color w:val="000000"/>
          <w:sz w:val="24"/>
          <w:szCs w:val="24"/>
        </w:rPr>
        <w:t xml:space="preserve"> Board therefore considered</w:t>
      </w:r>
      <w:r w:rsidR="00080469">
        <w:rPr>
          <w:rFonts w:ascii="Tahoma" w:eastAsia="Times New Roman" w:hAnsi="Tahoma" w:cs="Tahoma"/>
          <w:color w:val="000000"/>
          <w:sz w:val="24"/>
          <w:szCs w:val="24"/>
        </w:rPr>
        <w:t xml:space="preserve"> that t</w:t>
      </w:r>
      <w:r w:rsidR="00B77CB6" w:rsidRPr="00B77CB6">
        <w:rPr>
          <w:rFonts w:ascii="Tahoma" w:eastAsia="Times New Roman" w:hAnsi="Tahoma" w:cs="Tahoma"/>
          <w:color w:val="000000"/>
          <w:sz w:val="24"/>
          <w:szCs w:val="24"/>
        </w:rPr>
        <w:t xml:space="preserve">he trial judge </w:t>
      </w:r>
      <w:r w:rsidR="00080469">
        <w:rPr>
          <w:rFonts w:ascii="Tahoma" w:eastAsia="Times New Roman" w:hAnsi="Tahoma" w:cs="Tahoma"/>
          <w:color w:val="000000"/>
          <w:sz w:val="24"/>
          <w:szCs w:val="24"/>
        </w:rPr>
        <w:t xml:space="preserve">had been </w:t>
      </w:r>
      <w:r w:rsidR="00B77CB6" w:rsidRPr="00B77CB6">
        <w:rPr>
          <w:rFonts w:ascii="Tahoma" w:eastAsia="Times New Roman" w:hAnsi="Tahoma" w:cs="Tahoma"/>
          <w:color w:val="000000"/>
          <w:sz w:val="24"/>
          <w:szCs w:val="24"/>
        </w:rPr>
        <w:t>wrong to suggest to the jury that a parade would have served no useful purpose</w:t>
      </w:r>
      <w:r w:rsidR="00C63F6F">
        <w:rPr>
          <w:rFonts w:ascii="Tahoma" w:eastAsia="Times New Roman" w:hAnsi="Tahoma" w:cs="Tahoma"/>
          <w:color w:val="000000"/>
          <w:sz w:val="24"/>
          <w:szCs w:val="24"/>
        </w:rPr>
        <w:t xml:space="preserve">. </w:t>
      </w:r>
      <w:r w:rsidR="003D7B36">
        <w:rPr>
          <w:rFonts w:ascii="Tahoma" w:eastAsia="Times New Roman" w:hAnsi="Tahoma" w:cs="Tahoma"/>
          <w:color w:val="000000"/>
          <w:sz w:val="24"/>
          <w:szCs w:val="24"/>
        </w:rPr>
        <w:t>However,</w:t>
      </w:r>
      <w:r w:rsidR="00080469">
        <w:rPr>
          <w:rFonts w:ascii="Tahoma" w:eastAsia="Times New Roman" w:hAnsi="Tahoma" w:cs="Tahoma"/>
          <w:color w:val="000000"/>
          <w:sz w:val="24"/>
          <w:szCs w:val="24"/>
        </w:rPr>
        <w:t xml:space="preserve"> it concluded that, since a</w:t>
      </w:r>
      <w:r w:rsidR="00B77CB6" w:rsidRPr="00B77CB6">
        <w:rPr>
          <w:rFonts w:ascii="Tahoma" w:eastAsia="Times New Roman" w:hAnsi="Tahoma" w:cs="Tahoma"/>
          <w:color w:val="000000"/>
          <w:sz w:val="24"/>
          <w:szCs w:val="24"/>
        </w:rPr>
        <w:t xml:space="preserve"> parade </w:t>
      </w:r>
      <w:r w:rsidR="00315A2C">
        <w:rPr>
          <w:rFonts w:ascii="Tahoma" w:eastAsia="Times New Roman" w:hAnsi="Tahoma" w:cs="Tahoma"/>
          <w:color w:val="000000"/>
          <w:sz w:val="24"/>
          <w:szCs w:val="24"/>
        </w:rPr>
        <w:t>was</w:t>
      </w:r>
      <w:r w:rsidR="00C63F6F">
        <w:rPr>
          <w:rFonts w:ascii="Tahoma" w:eastAsia="Times New Roman" w:hAnsi="Tahoma" w:cs="Tahoma"/>
          <w:color w:val="000000"/>
          <w:sz w:val="24"/>
          <w:szCs w:val="24"/>
        </w:rPr>
        <w:t xml:space="preserve"> in fact</w:t>
      </w:r>
      <w:r w:rsidR="00B77CB6" w:rsidRPr="00B77CB6">
        <w:rPr>
          <w:rFonts w:ascii="Tahoma" w:eastAsia="Times New Roman" w:hAnsi="Tahoma" w:cs="Tahoma"/>
          <w:color w:val="000000"/>
          <w:sz w:val="24"/>
          <w:szCs w:val="24"/>
        </w:rPr>
        <w:t xml:space="preserve"> held and </w:t>
      </w:r>
      <w:r w:rsidR="00080469">
        <w:rPr>
          <w:rFonts w:ascii="Tahoma" w:eastAsia="Times New Roman" w:hAnsi="Tahoma" w:cs="Tahoma"/>
          <w:color w:val="000000"/>
          <w:sz w:val="24"/>
          <w:szCs w:val="24"/>
        </w:rPr>
        <w:t>t</w:t>
      </w:r>
      <w:r w:rsidR="00B77CB6" w:rsidRPr="00B77CB6">
        <w:rPr>
          <w:rFonts w:ascii="Tahoma" w:eastAsia="Times New Roman" w:hAnsi="Tahoma" w:cs="Tahoma"/>
          <w:color w:val="000000"/>
          <w:sz w:val="24"/>
          <w:szCs w:val="24"/>
        </w:rPr>
        <w:t>he</w:t>
      </w:r>
      <w:r w:rsidR="00080469">
        <w:rPr>
          <w:rFonts w:ascii="Tahoma" w:eastAsia="Times New Roman" w:hAnsi="Tahoma" w:cs="Tahoma"/>
          <w:color w:val="000000"/>
          <w:sz w:val="24"/>
          <w:szCs w:val="24"/>
        </w:rPr>
        <w:t xml:space="preserve"> judge </w:t>
      </w:r>
      <w:r w:rsidR="00F73CB2">
        <w:rPr>
          <w:rFonts w:ascii="Tahoma" w:eastAsia="Times New Roman" w:hAnsi="Tahoma" w:cs="Tahoma"/>
          <w:color w:val="000000"/>
          <w:sz w:val="24"/>
          <w:szCs w:val="24"/>
        </w:rPr>
        <w:t>had given</w:t>
      </w:r>
      <w:r w:rsidR="00B77CB6" w:rsidRPr="00B77CB6">
        <w:rPr>
          <w:rFonts w:ascii="Tahoma" w:eastAsia="Times New Roman" w:hAnsi="Tahoma" w:cs="Tahoma"/>
          <w:color w:val="000000"/>
          <w:sz w:val="24"/>
          <w:szCs w:val="24"/>
        </w:rPr>
        <w:t xml:space="preserve"> ample directions on the need to ensure that it had been fairly conducted</w:t>
      </w:r>
      <w:r w:rsidR="00080469">
        <w:rPr>
          <w:rFonts w:ascii="Tahoma" w:eastAsia="Times New Roman" w:hAnsi="Tahoma" w:cs="Tahoma"/>
          <w:color w:val="000000"/>
          <w:sz w:val="24"/>
          <w:szCs w:val="24"/>
        </w:rPr>
        <w:t xml:space="preserve">, there was no </w:t>
      </w:r>
      <w:r w:rsidR="00C63F6F">
        <w:rPr>
          <w:rFonts w:ascii="Tahoma" w:eastAsia="Times New Roman" w:hAnsi="Tahoma" w:cs="Tahoma"/>
          <w:color w:val="000000"/>
          <w:sz w:val="24"/>
          <w:szCs w:val="24"/>
        </w:rPr>
        <w:t xml:space="preserve">basis to disturb </w:t>
      </w:r>
      <w:r w:rsidR="00080469">
        <w:rPr>
          <w:rFonts w:ascii="Tahoma" w:eastAsia="Times New Roman" w:hAnsi="Tahoma" w:cs="Tahoma"/>
          <w:color w:val="000000"/>
          <w:sz w:val="24"/>
          <w:szCs w:val="24"/>
        </w:rPr>
        <w:t>the conviction on this score.</w:t>
      </w:r>
      <w:bookmarkEnd w:id="7"/>
    </w:p>
    <w:p w:rsidR="0071417A" w:rsidRPr="0071417A" w:rsidRDefault="003D7B36" w:rsidP="001F2DE4">
      <w:pPr>
        <w:spacing w:before="100" w:beforeAutospacing="1" w:after="100" w:afterAutospacing="1"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20</w:t>
      </w:r>
      <w:r w:rsidR="0071417A">
        <w:rPr>
          <w:rFonts w:ascii="Tahoma" w:eastAsia="Times New Roman" w:hAnsi="Tahoma" w:cs="Tahoma"/>
          <w:color w:val="000000"/>
          <w:sz w:val="24"/>
          <w:szCs w:val="24"/>
        </w:rPr>
        <w:t xml:space="preserve">.   </w:t>
      </w:r>
      <w:r w:rsidR="0071417A" w:rsidRPr="0071417A">
        <w:rPr>
          <w:rFonts w:ascii="Tahoma" w:eastAsia="Times New Roman" w:hAnsi="Tahoma" w:cs="Tahoma"/>
          <w:color w:val="000000"/>
          <w:sz w:val="24"/>
          <w:szCs w:val="24"/>
        </w:rPr>
        <w:t xml:space="preserve">In </w:t>
      </w:r>
      <w:r w:rsidR="0071417A" w:rsidRPr="0071417A">
        <w:rPr>
          <w:rFonts w:ascii="Tahoma" w:hAnsi="Tahoma" w:cs="Tahoma"/>
          <w:b/>
          <w:bCs/>
          <w:iCs/>
          <w:color w:val="000000"/>
          <w:sz w:val="24"/>
          <w:szCs w:val="24"/>
        </w:rPr>
        <w:t>John v State of Trinidad and Tobago</w:t>
      </w:r>
      <w:r w:rsidR="0071417A">
        <w:rPr>
          <w:rStyle w:val="FootnoteReference"/>
          <w:rFonts w:ascii="Tahoma" w:hAnsi="Tahoma" w:cs="Tahoma"/>
          <w:bCs/>
          <w:iCs/>
          <w:color w:val="000000"/>
          <w:sz w:val="24"/>
          <w:szCs w:val="24"/>
        </w:rPr>
        <w:footnoteReference w:id="32"/>
      </w:r>
      <w:r w:rsidR="0071417A" w:rsidRPr="0071417A">
        <w:rPr>
          <w:rFonts w:ascii="Tahoma" w:hAnsi="Tahoma" w:cs="Tahoma"/>
          <w:bCs/>
          <w:iCs/>
          <w:color w:val="000000"/>
          <w:sz w:val="24"/>
          <w:szCs w:val="24"/>
        </w:rPr>
        <w:t xml:space="preserve">, </w:t>
      </w:r>
      <w:r w:rsidR="0071417A">
        <w:rPr>
          <w:rFonts w:ascii="Tahoma" w:hAnsi="Tahoma" w:cs="Tahoma"/>
          <w:bCs/>
          <w:iCs/>
          <w:color w:val="000000"/>
          <w:sz w:val="24"/>
          <w:szCs w:val="24"/>
        </w:rPr>
        <w:t xml:space="preserve">the Board strongly affirmed </w:t>
      </w:r>
      <w:proofErr w:type="spellStart"/>
      <w:r w:rsidR="0071417A" w:rsidRPr="00B77CB6">
        <w:rPr>
          <w:rFonts w:ascii="Tahoma" w:eastAsia="Times New Roman" w:hAnsi="Tahoma" w:cs="Tahoma"/>
          <w:b/>
          <w:color w:val="000000"/>
          <w:sz w:val="24"/>
          <w:szCs w:val="24"/>
        </w:rPr>
        <w:t>Goldson</w:t>
      </w:r>
      <w:proofErr w:type="spellEnd"/>
      <w:r w:rsidR="0071417A" w:rsidRPr="00B77CB6">
        <w:rPr>
          <w:rFonts w:ascii="Tahoma" w:eastAsia="Times New Roman" w:hAnsi="Tahoma" w:cs="Tahoma"/>
          <w:b/>
          <w:color w:val="000000"/>
          <w:sz w:val="24"/>
          <w:szCs w:val="24"/>
        </w:rPr>
        <w:t xml:space="preserve"> &amp; </w:t>
      </w:r>
      <w:proofErr w:type="spellStart"/>
      <w:r w:rsidR="0071417A" w:rsidRPr="00B77CB6">
        <w:rPr>
          <w:rFonts w:ascii="Tahoma" w:eastAsia="Times New Roman" w:hAnsi="Tahoma" w:cs="Tahoma"/>
          <w:b/>
          <w:color w:val="000000"/>
          <w:sz w:val="24"/>
          <w:szCs w:val="24"/>
        </w:rPr>
        <w:t>McGlashan</w:t>
      </w:r>
      <w:proofErr w:type="spellEnd"/>
      <w:r w:rsidR="0071417A" w:rsidRPr="0071417A">
        <w:rPr>
          <w:rFonts w:ascii="Tahoma" w:eastAsia="Times New Roman" w:hAnsi="Tahoma" w:cs="Tahoma"/>
          <w:color w:val="000000"/>
          <w:sz w:val="24"/>
          <w:szCs w:val="24"/>
        </w:rPr>
        <w:t xml:space="preserve">, </w:t>
      </w:r>
      <w:r w:rsidR="0071417A">
        <w:rPr>
          <w:rFonts w:ascii="Tahoma" w:hAnsi="Tahoma" w:cs="Tahoma"/>
          <w:sz w:val="24"/>
          <w:szCs w:val="24"/>
        </w:rPr>
        <w:t xml:space="preserve">Lord Brown </w:t>
      </w:r>
      <w:r w:rsidR="003A1B7B">
        <w:rPr>
          <w:rFonts w:ascii="Tahoma" w:hAnsi="Tahoma" w:cs="Tahoma"/>
          <w:sz w:val="24"/>
          <w:szCs w:val="24"/>
        </w:rPr>
        <w:t>observi</w:t>
      </w:r>
      <w:r w:rsidR="0071417A">
        <w:rPr>
          <w:rFonts w:ascii="Tahoma" w:hAnsi="Tahoma" w:cs="Tahoma"/>
          <w:sz w:val="24"/>
          <w:szCs w:val="24"/>
        </w:rPr>
        <w:t>ng</w:t>
      </w:r>
      <w:r w:rsidR="003A1B7B">
        <w:rPr>
          <w:rStyle w:val="FootnoteReference"/>
          <w:rFonts w:ascii="Tahoma" w:hAnsi="Tahoma" w:cs="Tahoma"/>
          <w:sz w:val="24"/>
          <w:szCs w:val="24"/>
        </w:rPr>
        <w:footnoteReference w:id="33"/>
      </w:r>
      <w:r w:rsidR="0071417A">
        <w:rPr>
          <w:rFonts w:ascii="Tahoma" w:hAnsi="Tahoma" w:cs="Tahoma"/>
          <w:sz w:val="24"/>
          <w:szCs w:val="24"/>
        </w:rPr>
        <w:t xml:space="preserve"> that </w:t>
      </w:r>
      <w:bookmarkStart w:id="8" w:name="para14"/>
      <w:r w:rsidR="0071417A" w:rsidRPr="0071417A">
        <w:rPr>
          <w:rFonts w:ascii="Tahoma" w:hAnsi="Tahoma" w:cs="Tahoma"/>
          <w:sz w:val="24"/>
          <w:szCs w:val="24"/>
        </w:rPr>
        <w:t>“[a]</w:t>
      </w:r>
      <w:r w:rsidR="0071417A" w:rsidRPr="0071417A">
        <w:rPr>
          <w:rFonts w:ascii="Tahoma" w:hAnsi="Tahoma" w:cs="Tahoma"/>
          <w:color w:val="000000"/>
          <w:sz w:val="24"/>
          <w:szCs w:val="24"/>
        </w:rPr>
        <w:t>s a basic rule, an identification parade should be held whenever it would serve a useful purpose”.</w:t>
      </w:r>
      <w:bookmarkEnd w:id="8"/>
      <w:r w:rsidR="0071417A">
        <w:rPr>
          <w:rFonts w:ascii="Tahoma" w:hAnsi="Tahoma" w:cs="Tahoma"/>
          <w:sz w:val="24"/>
          <w:szCs w:val="24"/>
        </w:rPr>
        <w:t xml:space="preserve"> </w:t>
      </w:r>
      <w:r w:rsidR="003A1B7B">
        <w:rPr>
          <w:rFonts w:ascii="Tahoma" w:hAnsi="Tahoma" w:cs="Tahoma"/>
          <w:sz w:val="24"/>
          <w:szCs w:val="24"/>
        </w:rPr>
        <w:t xml:space="preserve">In </w:t>
      </w:r>
      <w:r w:rsidR="0071417A" w:rsidRPr="0071417A">
        <w:rPr>
          <w:rFonts w:ascii="Tahoma" w:hAnsi="Tahoma" w:cs="Tahoma"/>
          <w:bCs/>
          <w:iCs/>
          <w:color w:val="000000"/>
          <w:sz w:val="24"/>
          <w:szCs w:val="24"/>
        </w:rPr>
        <w:t xml:space="preserve">considering the question of </w:t>
      </w:r>
      <w:r w:rsidR="0071417A" w:rsidRPr="0071417A">
        <w:rPr>
          <w:rFonts w:ascii="Tahoma" w:hAnsi="Tahoma" w:cs="Tahoma"/>
          <w:bCs/>
          <w:color w:val="000000"/>
          <w:sz w:val="24"/>
          <w:szCs w:val="24"/>
        </w:rPr>
        <w:t>how to assess whether an identification parade would serve any useful purpose, Lord Brown posited three possible situations</w:t>
      </w:r>
      <w:r w:rsidR="003A1B7B">
        <w:rPr>
          <w:rStyle w:val="FootnoteReference"/>
          <w:rFonts w:ascii="Tahoma" w:hAnsi="Tahoma" w:cs="Tahoma"/>
          <w:bCs/>
          <w:color w:val="000000"/>
          <w:sz w:val="24"/>
          <w:szCs w:val="24"/>
        </w:rPr>
        <w:footnoteReference w:id="34"/>
      </w:r>
      <w:r w:rsidR="0071417A" w:rsidRPr="0071417A">
        <w:rPr>
          <w:rFonts w:ascii="Tahoma" w:hAnsi="Tahoma" w:cs="Tahoma"/>
          <w:bCs/>
          <w:color w:val="000000"/>
          <w:sz w:val="24"/>
          <w:szCs w:val="24"/>
        </w:rPr>
        <w:t xml:space="preserve">: the first where a suspect is in custody and a witness with no previous knowledge of the suspect claims to be able to identify the perpetrator of the crime; the second where the witness and the </w:t>
      </w:r>
      <w:r w:rsidR="0071417A" w:rsidRPr="0071417A">
        <w:rPr>
          <w:rFonts w:ascii="Tahoma" w:hAnsi="Tahoma" w:cs="Tahoma"/>
          <w:bCs/>
          <w:color w:val="000000"/>
          <w:sz w:val="24"/>
          <w:szCs w:val="24"/>
        </w:rPr>
        <w:lastRenderedPageBreak/>
        <w:t>suspect are well known to each other and neither disputes this; and the third where the witness claims to know the suspect but the latter denies this. In the first of these instances</w:t>
      </w:r>
      <w:r>
        <w:rPr>
          <w:rFonts w:ascii="Tahoma" w:hAnsi="Tahoma" w:cs="Tahoma"/>
          <w:bCs/>
          <w:color w:val="000000"/>
          <w:sz w:val="24"/>
          <w:szCs w:val="24"/>
        </w:rPr>
        <w:t>,</w:t>
      </w:r>
      <w:r w:rsidR="0071417A" w:rsidRPr="0071417A">
        <w:rPr>
          <w:rFonts w:ascii="Tahoma" w:hAnsi="Tahoma" w:cs="Tahoma"/>
          <w:bCs/>
          <w:color w:val="000000"/>
          <w:sz w:val="24"/>
          <w:szCs w:val="24"/>
        </w:rPr>
        <w:t xml:space="preserve"> an identification parade will obviously serve a useful purpose. In the second</w:t>
      </w:r>
      <w:r>
        <w:rPr>
          <w:rFonts w:ascii="Tahoma" w:hAnsi="Tahoma" w:cs="Tahoma"/>
          <w:bCs/>
          <w:color w:val="000000"/>
          <w:sz w:val="24"/>
          <w:szCs w:val="24"/>
        </w:rPr>
        <w:t>,</w:t>
      </w:r>
      <w:r w:rsidR="0071417A" w:rsidRPr="0071417A">
        <w:rPr>
          <w:rFonts w:ascii="Tahoma" w:hAnsi="Tahoma" w:cs="Tahoma"/>
          <w:bCs/>
          <w:color w:val="000000"/>
          <w:sz w:val="24"/>
          <w:szCs w:val="24"/>
        </w:rPr>
        <w:t xml:space="preserve"> it will not because it carries the risk of adding spurious authority to the claim of recognition. In the third situation, two questions must be posed. The first is whether, notwithstanding the claim by a witness to know the defendant, it can be retrospectively concluded that some contribution would have been made to the testing of the accuracy of his purported identification by holding a parade. If it is so concluded, the question then arises whether the failure to hold a parade caused a serious miscarriage of justice</w:t>
      </w:r>
      <w:r w:rsidR="006719F3">
        <w:rPr>
          <w:rFonts w:ascii="Tahoma" w:hAnsi="Tahoma" w:cs="Tahoma"/>
          <w:bCs/>
          <w:color w:val="000000"/>
          <w:sz w:val="24"/>
          <w:szCs w:val="24"/>
        </w:rPr>
        <w:t>.</w:t>
      </w:r>
      <w:r w:rsidR="0071417A" w:rsidRPr="0071417A">
        <w:rPr>
          <w:rStyle w:val="apple-converted-space"/>
          <w:rFonts w:ascii="Tahoma" w:hAnsi="Tahoma" w:cs="Tahoma"/>
          <w:bCs/>
          <w:color w:val="000000"/>
          <w:sz w:val="24"/>
          <w:szCs w:val="24"/>
        </w:rPr>
        <w:t> </w:t>
      </w:r>
    </w:p>
    <w:p w:rsidR="00347862" w:rsidRDefault="003A1B7B" w:rsidP="00D56129">
      <w:pPr>
        <w:spacing w:before="100" w:beforeAutospacing="1" w:after="100" w:afterAutospacing="1"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2</w:t>
      </w:r>
      <w:r w:rsidR="003D7B36">
        <w:rPr>
          <w:rFonts w:ascii="Tahoma" w:eastAsia="Times New Roman" w:hAnsi="Tahoma" w:cs="Tahoma"/>
          <w:color w:val="000000"/>
          <w:sz w:val="24"/>
          <w:szCs w:val="24"/>
        </w:rPr>
        <w:t>1</w:t>
      </w:r>
      <w:r w:rsidR="00C63F6F">
        <w:rPr>
          <w:rFonts w:ascii="Tahoma" w:eastAsia="Times New Roman" w:hAnsi="Tahoma" w:cs="Tahoma"/>
          <w:color w:val="000000"/>
          <w:sz w:val="24"/>
          <w:szCs w:val="24"/>
        </w:rPr>
        <w:t>.</w:t>
      </w:r>
      <w:r w:rsidR="008D3115">
        <w:rPr>
          <w:rFonts w:ascii="Tahoma" w:eastAsia="Times New Roman" w:hAnsi="Tahoma" w:cs="Tahoma"/>
          <w:color w:val="000000"/>
          <w:sz w:val="24"/>
          <w:szCs w:val="24"/>
        </w:rPr>
        <w:t xml:space="preserve">   And finally </w:t>
      </w:r>
      <w:r w:rsidR="00F76A0B">
        <w:rPr>
          <w:rFonts w:ascii="Tahoma" w:eastAsia="Times New Roman" w:hAnsi="Tahoma" w:cs="Tahoma"/>
          <w:color w:val="000000"/>
          <w:sz w:val="24"/>
          <w:szCs w:val="24"/>
        </w:rPr>
        <w:t>on this point</w:t>
      </w:r>
      <w:r w:rsidR="008D3115">
        <w:rPr>
          <w:rFonts w:ascii="Tahoma" w:eastAsia="Times New Roman" w:hAnsi="Tahoma" w:cs="Tahoma"/>
          <w:color w:val="000000"/>
          <w:sz w:val="24"/>
          <w:szCs w:val="24"/>
        </w:rPr>
        <w:t>, but hardly least, it should be noted that the requirement of an identification parade has been given explicit statutory effect in</w:t>
      </w:r>
      <w:r w:rsidR="006719F3">
        <w:rPr>
          <w:rFonts w:ascii="Tahoma" w:eastAsia="Times New Roman" w:hAnsi="Tahoma" w:cs="Tahoma"/>
          <w:color w:val="000000"/>
          <w:sz w:val="24"/>
          <w:szCs w:val="24"/>
        </w:rPr>
        <w:t xml:space="preserve"> the</w:t>
      </w:r>
      <w:r w:rsidR="008D3115">
        <w:rPr>
          <w:rFonts w:ascii="Tahoma" w:eastAsia="Times New Roman" w:hAnsi="Tahoma" w:cs="Tahoma"/>
          <w:color w:val="000000"/>
          <w:sz w:val="24"/>
          <w:szCs w:val="24"/>
        </w:rPr>
        <w:t xml:space="preserve"> St Kitts and Nevis</w:t>
      </w:r>
      <w:r w:rsidR="00C63F6F">
        <w:rPr>
          <w:rFonts w:ascii="Tahoma" w:eastAsia="Times New Roman" w:hAnsi="Tahoma" w:cs="Tahoma"/>
          <w:color w:val="000000"/>
          <w:sz w:val="24"/>
          <w:szCs w:val="24"/>
        </w:rPr>
        <w:t xml:space="preserve"> </w:t>
      </w:r>
      <w:r w:rsidR="008D3115">
        <w:rPr>
          <w:rFonts w:ascii="Tahoma" w:eastAsia="Times New Roman" w:hAnsi="Tahoma" w:cs="Tahoma"/>
          <w:color w:val="000000"/>
          <w:sz w:val="24"/>
          <w:szCs w:val="24"/>
        </w:rPr>
        <w:t xml:space="preserve">Evidence Act, 2011 (‘the St Kitts &amp; Nevis Act’), section </w:t>
      </w:r>
      <w:r w:rsidR="00347862">
        <w:rPr>
          <w:rFonts w:ascii="Tahoma" w:eastAsia="Times New Roman" w:hAnsi="Tahoma" w:cs="Tahoma"/>
          <w:color w:val="000000"/>
          <w:sz w:val="24"/>
          <w:szCs w:val="24"/>
        </w:rPr>
        <w:t>110 of which provides as follows:</w:t>
      </w:r>
    </w:p>
    <w:p w:rsidR="00347862" w:rsidRDefault="00347862" w:rsidP="00347862">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“(1) Subject to subsection (2), identification evidence </w:t>
      </w:r>
      <w:r w:rsidR="006719F3">
        <w:rPr>
          <w:rFonts w:ascii="Tahoma" w:eastAsia="Times New Roman" w:hAnsi="Tahoma" w:cs="Tahoma"/>
          <w:color w:val="000000"/>
          <w:sz w:val="24"/>
          <w:szCs w:val="24"/>
        </w:rPr>
        <w:t xml:space="preserve">  </w:t>
      </w:r>
      <w:r>
        <w:rPr>
          <w:rFonts w:ascii="Tahoma" w:eastAsia="Times New Roman" w:hAnsi="Tahoma" w:cs="Tahoma"/>
          <w:color w:val="000000"/>
          <w:sz w:val="24"/>
          <w:szCs w:val="24"/>
        </w:rPr>
        <w:t>adduced by the prosecutor is not admissible unless</w:t>
      </w:r>
    </w:p>
    <w:p w:rsidR="00347862" w:rsidRDefault="00347862" w:rsidP="006719F3">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(a) </w:t>
      </w:r>
      <w:proofErr w:type="gramStart"/>
      <w:r>
        <w:rPr>
          <w:rFonts w:ascii="Tahoma" w:eastAsia="Times New Roman" w:hAnsi="Tahoma" w:cs="Tahoma"/>
          <w:color w:val="000000"/>
          <w:sz w:val="24"/>
          <w:szCs w:val="24"/>
        </w:rPr>
        <w:t>either</w:t>
      </w:r>
      <w:proofErr w:type="gramEnd"/>
      <w:r>
        <w:rPr>
          <w:rFonts w:ascii="Tahoma" w:eastAsia="Times New Roman" w:hAnsi="Tahoma" w:cs="Tahoma"/>
          <w:color w:val="000000"/>
          <w:sz w:val="24"/>
          <w:szCs w:val="24"/>
        </w:rPr>
        <w:t xml:space="preserve"> an identification parade that included the  </w:t>
      </w:r>
      <w:r>
        <w:rPr>
          <w:rFonts w:ascii="Tahoma" w:eastAsia="Times New Roman" w:hAnsi="Tahoma" w:cs="Tahoma"/>
          <w:color w:val="000000"/>
          <w:sz w:val="24"/>
          <w:szCs w:val="24"/>
        </w:rPr>
        <w:tab/>
      </w:r>
      <w:r>
        <w:rPr>
          <w:rFonts w:ascii="Tahoma" w:eastAsia="Times New Roman" w:hAnsi="Tahoma" w:cs="Tahoma"/>
          <w:color w:val="000000"/>
          <w:sz w:val="24"/>
          <w:szCs w:val="24"/>
        </w:rPr>
        <w:tab/>
      </w:r>
      <w:r>
        <w:t xml:space="preserve">           </w:t>
      </w:r>
      <w:r>
        <w:rPr>
          <w:rFonts w:ascii="Tahoma" w:eastAsia="Times New Roman" w:hAnsi="Tahoma" w:cs="Tahoma"/>
          <w:color w:val="000000"/>
          <w:sz w:val="24"/>
          <w:szCs w:val="24"/>
        </w:rPr>
        <w:t xml:space="preserve">accused was held before the identification was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made and there is no evidence that the witness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was intentionally influenced to identify any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particular person in that parade; or</w:t>
      </w:r>
    </w:p>
    <w:p w:rsidR="008D3115" w:rsidRDefault="00347862" w:rsidP="006719F3">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(b) </w:t>
      </w:r>
      <w:proofErr w:type="gramStart"/>
      <w:r>
        <w:rPr>
          <w:rFonts w:ascii="Tahoma" w:eastAsia="Times New Roman" w:hAnsi="Tahoma" w:cs="Tahoma"/>
          <w:color w:val="000000"/>
          <w:sz w:val="24"/>
          <w:szCs w:val="24"/>
        </w:rPr>
        <w:t>identification</w:t>
      </w:r>
      <w:proofErr w:type="gramEnd"/>
      <w:r>
        <w:rPr>
          <w:rFonts w:ascii="Tahoma" w:eastAsia="Times New Roman" w:hAnsi="Tahoma" w:cs="Tahoma"/>
          <w:color w:val="000000"/>
          <w:sz w:val="24"/>
          <w:szCs w:val="24"/>
        </w:rPr>
        <w:t xml:space="preserve"> was made in accordance with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section 111.” </w:t>
      </w:r>
      <w:r w:rsidR="00C63F6F">
        <w:rPr>
          <w:rFonts w:ascii="Tahoma" w:eastAsia="Times New Roman" w:hAnsi="Tahoma" w:cs="Tahoma"/>
          <w:color w:val="000000"/>
          <w:sz w:val="24"/>
          <w:szCs w:val="24"/>
        </w:rPr>
        <w:t xml:space="preserve">  </w:t>
      </w:r>
    </w:p>
    <w:p w:rsidR="00347862" w:rsidRDefault="00347862" w:rsidP="006719F3">
      <w:pPr>
        <w:spacing w:after="0" w:line="240" w:lineRule="auto"/>
        <w:jc w:val="both"/>
        <w:rPr>
          <w:rFonts w:ascii="Tahoma" w:eastAsia="Times New Roman" w:hAnsi="Tahoma" w:cs="Tahoma"/>
          <w:color w:val="000000"/>
          <w:sz w:val="24"/>
          <w:szCs w:val="24"/>
        </w:rPr>
      </w:pPr>
    </w:p>
    <w:p w:rsidR="00CD46C1" w:rsidRDefault="00347862" w:rsidP="00D56129">
      <w:pPr>
        <w:spacing w:before="100" w:beforeAutospacing="1" w:after="100" w:afterAutospacing="1"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lastRenderedPageBreak/>
        <w:t>22.   Section 110(2) s</w:t>
      </w:r>
      <w:r w:rsidR="006719F3">
        <w:rPr>
          <w:rFonts w:ascii="Tahoma" w:eastAsia="Times New Roman" w:hAnsi="Tahoma" w:cs="Tahoma"/>
          <w:color w:val="000000"/>
          <w:sz w:val="24"/>
          <w:szCs w:val="24"/>
        </w:rPr>
        <w:t>tates</w:t>
      </w:r>
      <w:r>
        <w:rPr>
          <w:rFonts w:ascii="Tahoma" w:eastAsia="Times New Roman" w:hAnsi="Tahoma" w:cs="Tahoma"/>
          <w:color w:val="000000"/>
          <w:sz w:val="24"/>
          <w:szCs w:val="24"/>
        </w:rPr>
        <w:t xml:space="preserve"> </w:t>
      </w:r>
      <w:r w:rsidR="00CD46C1">
        <w:rPr>
          <w:rFonts w:ascii="Tahoma" w:eastAsia="Times New Roman" w:hAnsi="Tahoma" w:cs="Tahoma"/>
          <w:color w:val="000000"/>
          <w:sz w:val="24"/>
          <w:szCs w:val="24"/>
        </w:rPr>
        <w:t xml:space="preserve">(“Without limiting subsection (1)”) </w:t>
      </w:r>
      <w:r>
        <w:rPr>
          <w:rFonts w:ascii="Tahoma" w:eastAsia="Times New Roman" w:hAnsi="Tahoma" w:cs="Tahoma"/>
          <w:color w:val="000000"/>
          <w:sz w:val="24"/>
          <w:szCs w:val="24"/>
        </w:rPr>
        <w:t>the matters to be taken into account by a court in determining whether it was reasonable to hold an identification parade</w:t>
      </w:r>
      <w:r w:rsidR="00CD46C1">
        <w:rPr>
          <w:rFonts w:ascii="Tahoma" w:eastAsia="Times New Roman" w:hAnsi="Tahoma" w:cs="Tahoma"/>
          <w:color w:val="000000"/>
          <w:sz w:val="24"/>
          <w:szCs w:val="24"/>
        </w:rPr>
        <w:t xml:space="preserve"> as including - </w:t>
      </w:r>
    </w:p>
    <w:p w:rsidR="00CD46C1" w:rsidRDefault="00CD46C1" w:rsidP="00CD46C1">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“(a) the kind of offence and the gravity of the offence;</w:t>
      </w:r>
    </w:p>
    <w:p w:rsidR="00CD46C1" w:rsidRDefault="00CD46C1" w:rsidP="00CD46C1">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(b) </w:t>
      </w:r>
      <w:proofErr w:type="gramStart"/>
      <w:r>
        <w:rPr>
          <w:rFonts w:ascii="Tahoma" w:eastAsia="Times New Roman" w:hAnsi="Tahoma" w:cs="Tahoma"/>
          <w:color w:val="000000"/>
          <w:sz w:val="24"/>
          <w:szCs w:val="24"/>
        </w:rPr>
        <w:t>the</w:t>
      </w:r>
      <w:proofErr w:type="gramEnd"/>
      <w:r>
        <w:rPr>
          <w:rFonts w:ascii="Tahoma" w:eastAsia="Times New Roman" w:hAnsi="Tahoma" w:cs="Tahoma"/>
          <w:color w:val="000000"/>
          <w:sz w:val="24"/>
          <w:szCs w:val="24"/>
        </w:rPr>
        <w:t xml:space="preserve"> importance of the evidence being sought;</w:t>
      </w:r>
    </w:p>
    <w:p w:rsidR="00CD46C1" w:rsidRDefault="00CD46C1" w:rsidP="00CD46C1">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(c) </w:t>
      </w:r>
      <w:proofErr w:type="gramStart"/>
      <w:r>
        <w:rPr>
          <w:rFonts w:ascii="Tahoma" w:eastAsia="Times New Roman" w:hAnsi="Tahoma" w:cs="Tahoma"/>
          <w:color w:val="000000"/>
          <w:sz w:val="24"/>
          <w:szCs w:val="24"/>
        </w:rPr>
        <w:t>the</w:t>
      </w:r>
      <w:proofErr w:type="gramEnd"/>
      <w:r>
        <w:rPr>
          <w:rFonts w:ascii="Tahoma" w:eastAsia="Times New Roman" w:hAnsi="Tahoma" w:cs="Tahoma"/>
          <w:color w:val="000000"/>
          <w:sz w:val="24"/>
          <w:szCs w:val="24"/>
        </w:rPr>
        <w:t xml:space="preserve"> practicality of holding such a parade having regard,      among other things,</w:t>
      </w:r>
    </w:p>
    <w:p w:rsidR="00CD46C1" w:rsidRDefault="00CD46C1" w:rsidP="00CD46C1">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i</w:t>
      </w:r>
      <w:proofErr w:type="spellEnd"/>
      <w:r>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to</w:t>
      </w:r>
      <w:proofErr w:type="gramEnd"/>
      <w:r>
        <w:rPr>
          <w:rFonts w:ascii="Tahoma" w:eastAsia="Times New Roman" w:hAnsi="Tahoma" w:cs="Tahoma"/>
          <w:color w:val="000000"/>
          <w:sz w:val="24"/>
          <w:szCs w:val="24"/>
        </w:rPr>
        <w:t xml:space="preserve"> whether the accused refused to co-operate in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the conduct of the parade, and to the manner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and extent of, and the reason, if any, for the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refusal; and</w:t>
      </w:r>
    </w:p>
    <w:p w:rsidR="00CD46C1" w:rsidRDefault="00CD46C1" w:rsidP="00CD46C1">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(ii) </w:t>
      </w:r>
      <w:proofErr w:type="gramStart"/>
      <w:r>
        <w:rPr>
          <w:rFonts w:ascii="Tahoma" w:eastAsia="Times New Roman" w:hAnsi="Tahoma" w:cs="Tahoma"/>
          <w:color w:val="000000"/>
          <w:sz w:val="24"/>
          <w:szCs w:val="24"/>
        </w:rPr>
        <w:t>in</w:t>
      </w:r>
      <w:proofErr w:type="gramEnd"/>
      <w:r>
        <w:rPr>
          <w:rFonts w:ascii="Tahoma" w:eastAsia="Times New Roman" w:hAnsi="Tahoma" w:cs="Tahoma"/>
          <w:color w:val="000000"/>
          <w:sz w:val="24"/>
          <w:szCs w:val="24"/>
        </w:rPr>
        <w:t xml:space="preserve"> any case, to whether the identification was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made at or about the time of the commission of </w: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the relevant offence; and</w:t>
      </w:r>
    </w:p>
    <w:p w:rsidR="008D3115" w:rsidRDefault="00CD46C1" w:rsidP="00CD46C1">
      <w:pPr>
        <w:spacing w:before="100" w:beforeAutospacing="1" w:after="100" w:afterAutospacing="1" w:line="240" w:lineRule="auto"/>
        <w:ind w:left="1440" w:right="144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(d) </w:t>
      </w:r>
      <w:proofErr w:type="gramStart"/>
      <w:r>
        <w:rPr>
          <w:rFonts w:ascii="Tahoma" w:eastAsia="Times New Roman" w:hAnsi="Tahoma" w:cs="Tahoma"/>
          <w:color w:val="000000"/>
          <w:sz w:val="24"/>
          <w:szCs w:val="24"/>
        </w:rPr>
        <w:t>the</w:t>
      </w:r>
      <w:proofErr w:type="gramEnd"/>
      <w:r>
        <w:rPr>
          <w:rFonts w:ascii="Tahoma" w:eastAsia="Times New Roman" w:hAnsi="Tahoma" w:cs="Tahoma"/>
          <w:color w:val="000000"/>
          <w:sz w:val="24"/>
          <w:szCs w:val="24"/>
        </w:rPr>
        <w:t xml:space="preserve"> appropriateness of holding such a parade having </w:t>
      </w:r>
      <w:r w:rsidR="00F76A0B">
        <w:rPr>
          <w:rFonts w:ascii="Tahoma" w:eastAsia="Times New Roman" w:hAnsi="Tahoma" w:cs="Tahoma"/>
          <w:color w:val="000000"/>
          <w:sz w:val="24"/>
          <w:szCs w:val="24"/>
        </w:rPr>
        <w:t xml:space="preserve"> </w:t>
      </w:r>
      <w:r>
        <w:rPr>
          <w:rFonts w:ascii="Tahoma" w:eastAsia="Times New Roman" w:hAnsi="Tahoma" w:cs="Tahoma"/>
          <w:color w:val="000000"/>
          <w:sz w:val="24"/>
          <w:szCs w:val="24"/>
        </w:rPr>
        <w:t>regard, among other things, to the relationship between the accused and the witness who made the identification.”</w:t>
      </w:r>
      <w:r w:rsidR="00347862">
        <w:rPr>
          <w:rFonts w:ascii="Tahoma" w:eastAsia="Times New Roman" w:hAnsi="Tahoma" w:cs="Tahoma"/>
          <w:color w:val="000000"/>
          <w:sz w:val="24"/>
          <w:szCs w:val="24"/>
        </w:rPr>
        <w:t xml:space="preserve">  </w:t>
      </w:r>
    </w:p>
    <w:p w:rsidR="00F76A0B" w:rsidRDefault="00F76A0B" w:rsidP="006719F3">
      <w:pPr>
        <w:spacing w:after="0" w:line="240" w:lineRule="auto"/>
        <w:ind w:right="1440"/>
        <w:jc w:val="both"/>
        <w:rPr>
          <w:rFonts w:ascii="Tahoma" w:eastAsia="Times New Roman" w:hAnsi="Tahoma" w:cs="Tahoma"/>
          <w:color w:val="000000"/>
          <w:sz w:val="24"/>
          <w:szCs w:val="24"/>
        </w:rPr>
      </w:pPr>
    </w:p>
    <w:p w:rsidR="00F76A0B" w:rsidRDefault="00F76A0B" w:rsidP="00F76A0B">
      <w:pPr>
        <w:spacing w:before="100" w:beforeAutospacing="1" w:after="100" w:afterAutospacing="1"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23.   And, importantly, section 110(3) provides that</w:t>
      </w:r>
      <w:r w:rsidR="006719F3">
        <w:rPr>
          <w:rFonts w:ascii="Tahoma" w:eastAsia="Times New Roman" w:hAnsi="Tahoma" w:cs="Tahoma"/>
          <w:color w:val="000000"/>
          <w:sz w:val="24"/>
          <w:szCs w:val="24"/>
        </w:rPr>
        <w:t>,</w:t>
      </w:r>
      <w:r>
        <w:rPr>
          <w:rFonts w:ascii="Tahoma" w:eastAsia="Times New Roman" w:hAnsi="Tahoma" w:cs="Tahoma"/>
          <w:color w:val="000000"/>
          <w:sz w:val="24"/>
          <w:szCs w:val="24"/>
        </w:rPr>
        <w:t xml:space="preserve"> where the accused refuses to co-operate in the conduct of a parade without having his lawyer present, and there were reasonable grounds to believe that it was not reasonably practicable for his lawyer to be present at the time fixed for the parade, “it shall be presumed that it would not have been reasonable to have held an identification parade at that time”. </w:t>
      </w:r>
    </w:p>
    <w:p w:rsidR="00C64AE8" w:rsidRDefault="00F76A0B" w:rsidP="00D56129">
      <w:pPr>
        <w:spacing w:before="100" w:beforeAutospacing="1" w:after="100" w:afterAutospacing="1" w:line="480" w:lineRule="auto"/>
        <w:jc w:val="both"/>
        <w:rPr>
          <w:rFonts w:ascii="Tahoma" w:hAnsi="Tahoma" w:cs="Tahoma"/>
          <w:color w:val="000000"/>
          <w:sz w:val="24"/>
          <w:szCs w:val="24"/>
        </w:rPr>
      </w:pPr>
      <w:r>
        <w:rPr>
          <w:rFonts w:ascii="Tahoma" w:eastAsia="Times New Roman" w:hAnsi="Tahoma" w:cs="Tahoma"/>
          <w:color w:val="000000"/>
          <w:sz w:val="24"/>
          <w:szCs w:val="24"/>
        </w:rPr>
        <w:t xml:space="preserve">24.   </w:t>
      </w:r>
      <w:r w:rsidR="003D7B36">
        <w:rPr>
          <w:rFonts w:ascii="Tahoma" w:eastAsia="Times New Roman" w:hAnsi="Tahoma" w:cs="Tahoma"/>
          <w:color w:val="000000"/>
          <w:sz w:val="24"/>
          <w:szCs w:val="24"/>
        </w:rPr>
        <w:t>But, d</w:t>
      </w:r>
      <w:r w:rsidR="00C63F6F">
        <w:rPr>
          <w:rFonts w:ascii="Tahoma" w:eastAsia="Times New Roman" w:hAnsi="Tahoma" w:cs="Tahoma"/>
          <w:color w:val="000000"/>
          <w:sz w:val="24"/>
          <w:szCs w:val="24"/>
        </w:rPr>
        <w:t xml:space="preserve">espite the clear statements emerging from all the modern cases as to the undesirability of dock </w:t>
      </w:r>
      <w:r w:rsidR="00D56129">
        <w:rPr>
          <w:rFonts w:ascii="Tahoma" w:eastAsia="Times New Roman" w:hAnsi="Tahoma" w:cs="Tahoma"/>
          <w:color w:val="000000"/>
          <w:sz w:val="24"/>
          <w:szCs w:val="24"/>
        </w:rPr>
        <w:t>identification, it has never really been doubted that evidence of identification by this means is n</w:t>
      </w:r>
      <w:r w:rsidR="003A1B7B">
        <w:rPr>
          <w:rFonts w:ascii="Tahoma" w:eastAsia="Times New Roman" w:hAnsi="Tahoma" w:cs="Tahoma"/>
          <w:color w:val="000000"/>
          <w:sz w:val="24"/>
          <w:szCs w:val="24"/>
        </w:rPr>
        <w:t xml:space="preserve">ot </w:t>
      </w:r>
      <w:r w:rsidR="006719F3">
        <w:rPr>
          <w:rFonts w:ascii="Tahoma" w:eastAsia="Times New Roman" w:hAnsi="Tahoma" w:cs="Tahoma"/>
          <w:color w:val="000000"/>
          <w:sz w:val="24"/>
          <w:szCs w:val="24"/>
        </w:rPr>
        <w:t>by th</w:t>
      </w:r>
      <w:r w:rsidR="009B7D59">
        <w:rPr>
          <w:rFonts w:ascii="Tahoma" w:eastAsia="Times New Roman" w:hAnsi="Tahoma" w:cs="Tahoma"/>
          <w:color w:val="000000"/>
          <w:sz w:val="24"/>
          <w:szCs w:val="24"/>
        </w:rPr>
        <w:t xml:space="preserve">is </w:t>
      </w:r>
      <w:r w:rsidR="006719F3">
        <w:rPr>
          <w:rFonts w:ascii="Tahoma" w:eastAsia="Times New Roman" w:hAnsi="Tahoma" w:cs="Tahoma"/>
          <w:color w:val="000000"/>
          <w:sz w:val="24"/>
          <w:szCs w:val="24"/>
        </w:rPr>
        <w:t>reason alone</w:t>
      </w:r>
      <w:r w:rsidR="003A1B7B">
        <w:rPr>
          <w:rFonts w:ascii="Tahoma" w:eastAsia="Times New Roman" w:hAnsi="Tahoma" w:cs="Tahoma"/>
          <w:color w:val="000000"/>
          <w:sz w:val="24"/>
          <w:szCs w:val="24"/>
        </w:rPr>
        <w:t xml:space="preserve"> in</w:t>
      </w:r>
      <w:r w:rsidR="00D56129">
        <w:rPr>
          <w:rFonts w:ascii="Tahoma" w:eastAsia="Times New Roman" w:hAnsi="Tahoma" w:cs="Tahoma"/>
          <w:color w:val="000000"/>
          <w:sz w:val="24"/>
          <w:szCs w:val="24"/>
        </w:rPr>
        <w:t xml:space="preserve">admissible. In </w:t>
      </w:r>
      <w:proofErr w:type="spellStart"/>
      <w:r w:rsidR="00D56129" w:rsidRPr="00D56129">
        <w:rPr>
          <w:rFonts w:ascii="Tahoma" w:eastAsia="Times New Roman" w:hAnsi="Tahoma" w:cs="Tahoma"/>
          <w:b/>
          <w:color w:val="000000"/>
          <w:sz w:val="24"/>
          <w:szCs w:val="24"/>
        </w:rPr>
        <w:t>Pipersburgh</w:t>
      </w:r>
      <w:proofErr w:type="spellEnd"/>
      <w:r w:rsidR="00D56129" w:rsidRPr="00D56129">
        <w:rPr>
          <w:rFonts w:ascii="Tahoma" w:eastAsia="Times New Roman" w:hAnsi="Tahoma" w:cs="Tahoma"/>
          <w:b/>
          <w:color w:val="000000"/>
          <w:sz w:val="24"/>
          <w:szCs w:val="24"/>
        </w:rPr>
        <w:t xml:space="preserve"> &amp; </w:t>
      </w:r>
      <w:proofErr w:type="spellStart"/>
      <w:r w:rsidR="00D56129" w:rsidRPr="00D56129">
        <w:rPr>
          <w:rFonts w:ascii="Tahoma" w:eastAsia="Times New Roman" w:hAnsi="Tahoma" w:cs="Tahoma"/>
          <w:b/>
          <w:color w:val="000000"/>
          <w:sz w:val="24"/>
          <w:szCs w:val="24"/>
        </w:rPr>
        <w:lastRenderedPageBreak/>
        <w:t>Robateau</w:t>
      </w:r>
      <w:proofErr w:type="spellEnd"/>
      <w:r w:rsidR="000E6F97">
        <w:rPr>
          <w:rFonts w:ascii="Tahoma" w:eastAsia="Times New Roman" w:hAnsi="Tahoma" w:cs="Tahoma"/>
          <w:color w:val="000000"/>
          <w:sz w:val="24"/>
          <w:szCs w:val="24"/>
        </w:rPr>
        <w:t>,</w:t>
      </w:r>
      <w:r w:rsidR="00D56129">
        <w:rPr>
          <w:rFonts w:ascii="Tahoma" w:eastAsia="Times New Roman" w:hAnsi="Tahoma" w:cs="Tahoma"/>
          <w:color w:val="000000"/>
          <w:sz w:val="24"/>
          <w:szCs w:val="24"/>
        </w:rPr>
        <w:t xml:space="preserve"> for instance, </w:t>
      </w:r>
      <w:r w:rsidR="000B636C">
        <w:rPr>
          <w:rFonts w:ascii="Tahoma" w:eastAsia="Times New Roman" w:hAnsi="Tahoma" w:cs="Tahoma"/>
          <w:color w:val="000000"/>
          <w:sz w:val="24"/>
          <w:szCs w:val="24"/>
        </w:rPr>
        <w:t xml:space="preserve">affirming its previous decision in </w:t>
      </w:r>
      <w:r w:rsidR="000B636C" w:rsidRPr="000B636C">
        <w:rPr>
          <w:rFonts w:ascii="Tahoma" w:eastAsia="Times New Roman" w:hAnsi="Tahoma" w:cs="Tahoma"/>
          <w:b/>
          <w:color w:val="000000"/>
          <w:sz w:val="24"/>
          <w:szCs w:val="24"/>
        </w:rPr>
        <w:t>Pop</w:t>
      </w:r>
      <w:r w:rsidR="000B636C">
        <w:rPr>
          <w:rFonts w:ascii="Tahoma" w:eastAsia="Times New Roman" w:hAnsi="Tahoma" w:cs="Tahoma"/>
          <w:color w:val="000000"/>
          <w:sz w:val="24"/>
          <w:szCs w:val="24"/>
        </w:rPr>
        <w:t xml:space="preserve">, </w:t>
      </w:r>
      <w:r w:rsidR="00D56129">
        <w:rPr>
          <w:rFonts w:ascii="Tahoma" w:eastAsia="Times New Roman" w:hAnsi="Tahoma" w:cs="Tahoma"/>
          <w:color w:val="000000"/>
          <w:sz w:val="24"/>
          <w:szCs w:val="24"/>
        </w:rPr>
        <w:t xml:space="preserve">the Board specifically rejected a submission on behalf of the appellants </w:t>
      </w:r>
      <w:r w:rsidR="00D56129" w:rsidRPr="00D56129">
        <w:rPr>
          <w:rFonts w:ascii="Tahoma" w:hAnsi="Tahoma" w:cs="Tahoma"/>
          <w:bCs/>
          <w:color w:val="000000"/>
          <w:sz w:val="24"/>
          <w:szCs w:val="24"/>
        </w:rPr>
        <w:t xml:space="preserve">that </w:t>
      </w:r>
      <w:proofErr w:type="gramStart"/>
      <w:r w:rsidR="00D56129" w:rsidRPr="00D56129">
        <w:rPr>
          <w:rFonts w:ascii="Tahoma" w:hAnsi="Tahoma" w:cs="Tahoma"/>
          <w:bCs/>
          <w:color w:val="000000"/>
          <w:sz w:val="24"/>
          <w:szCs w:val="24"/>
        </w:rPr>
        <w:t>a dock</w:t>
      </w:r>
      <w:proofErr w:type="gramEnd"/>
      <w:r w:rsidR="00D56129" w:rsidRPr="00D56129">
        <w:rPr>
          <w:rFonts w:ascii="Tahoma" w:hAnsi="Tahoma" w:cs="Tahoma"/>
          <w:bCs/>
          <w:color w:val="000000"/>
          <w:sz w:val="24"/>
          <w:szCs w:val="24"/>
        </w:rPr>
        <w:t xml:space="preserve"> identification </w:t>
      </w:r>
      <w:r w:rsidR="00D56129">
        <w:rPr>
          <w:rFonts w:ascii="Tahoma" w:hAnsi="Tahoma" w:cs="Tahoma"/>
          <w:bCs/>
          <w:color w:val="000000"/>
          <w:sz w:val="24"/>
          <w:szCs w:val="24"/>
        </w:rPr>
        <w:t xml:space="preserve">without a </w:t>
      </w:r>
      <w:r w:rsidR="00D56129" w:rsidRPr="00D56129">
        <w:rPr>
          <w:rFonts w:ascii="Tahoma" w:hAnsi="Tahoma" w:cs="Tahoma"/>
          <w:bCs/>
          <w:color w:val="000000"/>
          <w:sz w:val="24"/>
          <w:szCs w:val="24"/>
        </w:rPr>
        <w:t>prior identification parade was without more inadmissible</w:t>
      </w:r>
      <w:r w:rsidR="000B636C">
        <w:rPr>
          <w:rFonts w:ascii="Tahoma" w:hAnsi="Tahoma" w:cs="Tahoma"/>
          <w:bCs/>
          <w:color w:val="000000"/>
          <w:sz w:val="24"/>
          <w:szCs w:val="24"/>
        </w:rPr>
        <w:t xml:space="preserve">. </w:t>
      </w:r>
      <w:r w:rsidR="008428A3">
        <w:rPr>
          <w:rFonts w:ascii="Tahoma" w:hAnsi="Tahoma" w:cs="Tahoma"/>
          <w:bCs/>
          <w:color w:val="000000"/>
          <w:sz w:val="24"/>
          <w:szCs w:val="24"/>
        </w:rPr>
        <w:t>This notwithstanding</w:t>
      </w:r>
      <w:r w:rsidR="00D56129">
        <w:rPr>
          <w:rFonts w:ascii="Tahoma" w:hAnsi="Tahoma" w:cs="Tahoma"/>
          <w:bCs/>
          <w:color w:val="000000"/>
          <w:sz w:val="24"/>
          <w:szCs w:val="24"/>
        </w:rPr>
        <w:t xml:space="preserve">, </w:t>
      </w:r>
      <w:r w:rsidR="008428A3">
        <w:rPr>
          <w:rFonts w:ascii="Tahoma" w:hAnsi="Tahoma" w:cs="Tahoma"/>
          <w:bCs/>
          <w:color w:val="000000"/>
          <w:sz w:val="24"/>
          <w:szCs w:val="24"/>
        </w:rPr>
        <w:t xml:space="preserve">Lord </w:t>
      </w:r>
      <w:proofErr w:type="spellStart"/>
      <w:r w:rsidR="008428A3">
        <w:rPr>
          <w:rFonts w:ascii="Tahoma" w:hAnsi="Tahoma" w:cs="Tahoma"/>
          <w:bCs/>
          <w:color w:val="000000"/>
          <w:sz w:val="24"/>
          <w:szCs w:val="24"/>
        </w:rPr>
        <w:t>Carswell</w:t>
      </w:r>
      <w:proofErr w:type="spellEnd"/>
      <w:r w:rsidR="008428A3">
        <w:rPr>
          <w:rFonts w:ascii="Tahoma" w:hAnsi="Tahoma" w:cs="Tahoma"/>
          <w:bCs/>
          <w:color w:val="000000"/>
          <w:sz w:val="24"/>
          <w:szCs w:val="24"/>
        </w:rPr>
        <w:t xml:space="preserve"> plainly implied </w:t>
      </w:r>
      <w:r w:rsidR="00D56129">
        <w:rPr>
          <w:rFonts w:ascii="Tahoma" w:hAnsi="Tahoma" w:cs="Tahoma"/>
          <w:bCs/>
          <w:color w:val="000000"/>
          <w:sz w:val="24"/>
          <w:szCs w:val="24"/>
        </w:rPr>
        <w:t xml:space="preserve">in </w:t>
      </w:r>
      <w:proofErr w:type="gramStart"/>
      <w:r w:rsidR="00D56129" w:rsidRPr="00D56129">
        <w:rPr>
          <w:rFonts w:ascii="Tahoma" w:hAnsi="Tahoma" w:cs="Tahoma"/>
          <w:b/>
          <w:bCs/>
          <w:color w:val="000000"/>
          <w:sz w:val="24"/>
          <w:szCs w:val="24"/>
        </w:rPr>
        <w:t>Edwards</w:t>
      </w:r>
      <w:proofErr w:type="gramEnd"/>
      <w:r w:rsidR="00D56129" w:rsidRPr="00D56129">
        <w:rPr>
          <w:rFonts w:ascii="Tahoma" w:hAnsi="Tahoma" w:cs="Tahoma"/>
          <w:b/>
          <w:bCs/>
          <w:color w:val="000000"/>
          <w:sz w:val="24"/>
          <w:szCs w:val="24"/>
        </w:rPr>
        <w:t xml:space="preserve"> v R</w:t>
      </w:r>
      <w:r w:rsidR="00C64AE8" w:rsidRPr="00C64AE8">
        <w:rPr>
          <w:rStyle w:val="FootnoteReference"/>
          <w:rFonts w:ascii="Tahoma" w:hAnsi="Tahoma" w:cs="Tahoma"/>
          <w:bCs/>
          <w:color w:val="000000"/>
          <w:sz w:val="24"/>
          <w:szCs w:val="24"/>
        </w:rPr>
        <w:footnoteReference w:id="35"/>
      </w:r>
      <w:r w:rsidR="000B636C">
        <w:rPr>
          <w:rFonts w:ascii="Tahoma" w:hAnsi="Tahoma" w:cs="Tahoma"/>
          <w:bCs/>
          <w:color w:val="000000"/>
          <w:sz w:val="24"/>
          <w:szCs w:val="24"/>
        </w:rPr>
        <w:t xml:space="preserve"> </w:t>
      </w:r>
      <w:bookmarkStart w:id="9" w:name="para22"/>
      <w:r w:rsidR="00C64AE8" w:rsidRPr="00C64AE8">
        <w:rPr>
          <w:rFonts w:ascii="Tahoma" w:hAnsi="Tahoma" w:cs="Tahoma"/>
          <w:color w:val="000000"/>
          <w:sz w:val="24"/>
          <w:szCs w:val="24"/>
        </w:rPr>
        <w:t>that it is only in the most exceptional circumstances that any form of dock identification is permissible:</w:t>
      </w:r>
    </w:p>
    <w:bookmarkEnd w:id="9"/>
    <w:p w:rsidR="00D56129" w:rsidRDefault="00C64AE8" w:rsidP="00C64AE8">
      <w:pPr>
        <w:spacing w:before="100" w:beforeAutospacing="1" w:after="100" w:afterAutospacing="1" w:line="240" w:lineRule="auto"/>
        <w:ind w:left="1440" w:right="1440"/>
        <w:jc w:val="both"/>
        <w:rPr>
          <w:rFonts w:ascii="Tahoma" w:hAnsi="Tahoma" w:cs="Tahoma"/>
          <w:b/>
          <w:bCs/>
          <w:color w:val="000000"/>
          <w:sz w:val="24"/>
          <w:szCs w:val="24"/>
        </w:rPr>
      </w:pPr>
      <w:r w:rsidRPr="00C64AE8">
        <w:rPr>
          <w:rFonts w:ascii="Tahoma" w:hAnsi="Tahoma" w:cs="Tahoma"/>
          <w:color w:val="000000"/>
          <w:sz w:val="24"/>
          <w:szCs w:val="24"/>
        </w:rPr>
        <w:t>“It is…an undesirable practice in general and other means should be adopted of establishing that the defendant in the dock is the man who was arrested for the offence charged. On both these matters, when the evidence had been admitted, it was incumbent upon the judge to direct the jury to give it little or no weight.”</w:t>
      </w:r>
      <w:r w:rsidR="000B636C" w:rsidRPr="000B636C">
        <w:rPr>
          <w:rFonts w:ascii="Tahoma" w:hAnsi="Tahoma" w:cs="Tahoma"/>
          <w:bCs/>
          <w:color w:val="000000"/>
          <w:sz w:val="24"/>
          <w:szCs w:val="24"/>
        </w:rPr>
        <w:t xml:space="preserve"> </w:t>
      </w:r>
      <w:r w:rsidR="00D56129">
        <w:rPr>
          <w:rFonts w:ascii="Tahoma" w:hAnsi="Tahoma" w:cs="Tahoma"/>
          <w:b/>
          <w:bCs/>
          <w:color w:val="000000"/>
          <w:sz w:val="24"/>
          <w:szCs w:val="24"/>
        </w:rPr>
        <w:t xml:space="preserve"> </w:t>
      </w:r>
    </w:p>
    <w:p w:rsidR="002F5D1A" w:rsidRDefault="002F5D1A" w:rsidP="002F5D1A">
      <w:pPr>
        <w:spacing w:after="0" w:line="240" w:lineRule="auto"/>
        <w:ind w:left="1440" w:right="1440"/>
        <w:jc w:val="both"/>
        <w:rPr>
          <w:rFonts w:ascii="Tahoma" w:hAnsi="Tahoma" w:cs="Tahoma"/>
          <w:b/>
          <w:bCs/>
          <w:color w:val="000000"/>
          <w:sz w:val="24"/>
          <w:szCs w:val="24"/>
        </w:rPr>
      </w:pPr>
    </w:p>
    <w:p w:rsidR="00C64AE8" w:rsidRPr="002F5D1A" w:rsidRDefault="002F5D1A" w:rsidP="002F5D1A">
      <w:pPr>
        <w:spacing w:before="100" w:beforeAutospacing="1" w:after="100" w:afterAutospacing="1" w:line="480" w:lineRule="auto"/>
        <w:jc w:val="both"/>
        <w:rPr>
          <w:rFonts w:ascii="Tahoma" w:hAnsi="Tahoma" w:cs="Tahoma"/>
          <w:bCs/>
          <w:color w:val="000000"/>
          <w:sz w:val="24"/>
          <w:szCs w:val="24"/>
        </w:rPr>
      </w:pPr>
      <w:r w:rsidRPr="002F5D1A">
        <w:rPr>
          <w:rFonts w:ascii="Tahoma" w:hAnsi="Tahoma" w:cs="Tahoma"/>
          <w:bCs/>
          <w:color w:val="000000"/>
          <w:sz w:val="24"/>
          <w:szCs w:val="24"/>
        </w:rPr>
        <w:t>2</w:t>
      </w:r>
      <w:r w:rsidR="00F76A0B">
        <w:rPr>
          <w:rFonts w:ascii="Tahoma" w:hAnsi="Tahoma" w:cs="Tahoma"/>
          <w:bCs/>
          <w:color w:val="000000"/>
          <w:sz w:val="24"/>
          <w:szCs w:val="24"/>
        </w:rPr>
        <w:t>5</w:t>
      </w:r>
      <w:r w:rsidRPr="002F5D1A">
        <w:rPr>
          <w:rFonts w:ascii="Tahoma" w:hAnsi="Tahoma" w:cs="Tahoma"/>
          <w:bCs/>
          <w:color w:val="000000"/>
          <w:sz w:val="24"/>
          <w:szCs w:val="24"/>
        </w:rPr>
        <w:t xml:space="preserve">.   In </w:t>
      </w:r>
      <w:r>
        <w:rPr>
          <w:rFonts w:ascii="Tahoma" w:hAnsi="Tahoma" w:cs="Tahoma"/>
          <w:bCs/>
          <w:color w:val="000000"/>
          <w:sz w:val="24"/>
          <w:szCs w:val="24"/>
        </w:rPr>
        <w:t xml:space="preserve">reference to this passage in the </w:t>
      </w:r>
      <w:r w:rsidRPr="002F5D1A">
        <w:rPr>
          <w:rFonts w:ascii="Tahoma" w:hAnsi="Tahoma" w:cs="Tahoma"/>
          <w:bCs/>
          <w:color w:val="000000"/>
          <w:sz w:val="24"/>
          <w:szCs w:val="24"/>
        </w:rPr>
        <w:t>later decision</w:t>
      </w:r>
      <w:r>
        <w:rPr>
          <w:rFonts w:ascii="Tahoma" w:hAnsi="Tahoma" w:cs="Tahoma"/>
          <w:bCs/>
          <w:color w:val="000000"/>
          <w:sz w:val="24"/>
          <w:szCs w:val="24"/>
        </w:rPr>
        <w:t xml:space="preserve"> of the Board</w:t>
      </w:r>
      <w:r w:rsidRPr="002F5D1A">
        <w:rPr>
          <w:rFonts w:ascii="Tahoma" w:hAnsi="Tahoma" w:cs="Tahoma"/>
          <w:bCs/>
          <w:color w:val="000000"/>
          <w:sz w:val="24"/>
          <w:szCs w:val="24"/>
        </w:rPr>
        <w:t xml:space="preserve"> in</w:t>
      </w:r>
      <w:r w:rsidR="0053519F">
        <w:rPr>
          <w:rFonts w:ascii="Tahoma" w:hAnsi="Tahoma" w:cs="Tahoma"/>
          <w:bCs/>
          <w:color w:val="000000"/>
          <w:sz w:val="24"/>
          <w:szCs w:val="24"/>
        </w:rPr>
        <w:t xml:space="preserve"> the Bahamian case of</w:t>
      </w:r>
      <w:r w:rsidRPr="002F5D1A">
        <w:rPr>
          <w:rFonts w:ascii="Tahoma" w:hAnsi="Tahoma" w:cs="Tahoma"/>
          <w:bCs/>
          <w:color w:val="000000"/>
          <w:sz w:val="24"/>
          <w:szCs w:val="24"/>
        </w:rPr>
        <w:t xml:space="preserve"> </w:t>
      </w:r>
      <w:proofErr w:type="spellStart"/>
      <w:r w:rsidRPr="002F5D1A">
        <w:rPr>
          <w:rFonts w:ascii="Tahoma" w:hAnsi="Tahoma" w:cs="Tahoma"/>
          <w:b/>
          <w:bCs/>
          <w:color w:val="000000"/>
          <w:sz w:val="24"/>
          <w:szCs w:val="24"/>
        </w:rPr>
        <w:t>Tido</w:t>
      </w:r>
      <w:proofErr w:type="spellEnd"/>
      <w:r w:rsidRPr="002F5D1A">
        <w:rPr>
          <w:rFonts w:ascii="Tahoma" w:hAnsi="Tahoma" w:cs="Tahoma"/>
          <w:b/>
          <w:bCs/>
          <w:color w:val="000000"/>
          <w:sz w:val="24"/>
          <w:szCs w:val="24"/>
        </w:rPr>
        <w:t xml:space="preserve"> v R</w:t>
      </w:r>
      <w:r w:rsidRPr="00370BB3">
        <w:rPr>
          <w:rStyle w:val="FootnoteReference"/>
          <w:rFonts w:ascii="Tahoma" w:hAnsi="Tahoma" w:cs="Tahoma"/>
          <w:bCs/>
          <w:color w:val="000000"/>
          <w:sz w:val="24"/>
          <w:szCs w:val="24"/>
        </w:rPr>
        <w:footnoteReference w:id="36"/>
      </w:r>
      <w:r w:rsidRPr="002F5D1A">
        <w:rPr>
          <w:rFonts w:ascii="Tahoma" w:hAnsi="Tahoma" w:cs="Tahoma"/>
          <w:bCs/>
          <w:color w:val="000000"/>
          <w:sz w:val="24"/>
          <w:szCs w:val="24"/>
        </w:rPr>
        <w:t xml:space="preserve">, </w:t>
      </w:r>
      <w:r>
        <w:rPr>
          <w:rFonts w:ascii="Tahoma" w:hAnsi="Tahoma" w:cs="Tahoma"/>
          <w:bCs/>
          <w:color w:val="000000"/>
          <w:sz w:val="24"/>
          <w:szCs w:val="24"/>
        </w:rPr>
        <w:t xml:space="preserve">Lord Kerr </w:t>
      </w:r>
      <w:r w:rsidRPr="002F5D1A">
        <w:rPr>
          <w:rFonts w:ascii="Tahoma" w:hAnsi="Tahoma" w:cs="Tahoma"/>
          <w:bCs/>
          <w:color w:val="000000"/>
          <w:sz w:val="24"/>
          <w:szCs w:val="24"/>
        </w:rPr>
        <w:t xml:space="preserve">observed that Lord </w:t>
      </w:r>
      <w:proofErr w:type="spellStart"/>
      <w:r w:rsidRPr="002F5D1A">
        <w:rPr>
          <w:rFonts w:ascii="Tahoma" w:hAnsi="Tahoma" w:cs="Tahoma"/>
          <w:bCs/>
          <w:color w:val="000000"/>
          <w:sz w:val="24"/>
          <w:szCs w:val="24"/>
        </w:rPr>
        <w:t>Carswell</w:t>
      </w:r>
      <w:proofErr w:type="spellEnd"/>
      <w:r w:rsidRPr="002F5D1A">
        <w:rPr>
          <w:rFonts w:ascii="Tahoma" w:hAnsi="Tahoma" w:cs="Tahoma"/>
          <w:bCs/>
          <w:color w:val="000000"/>
          <w:sz w:val="24"/>
          <w:szCs w:val="24"/>
        </w:rPr>
        <w:t xml:space="preserve"> appeared to have gone further than either </w:t>
      </w:r>
      <w:r w:rsidRPr="002F5D1A">
        <w:rPr>
          <w:rFonts w:ascii="Tahoma" w:hAnsi="Tahoma" w:cs="Tahoma"/>
          <w:b/>
          <w:bCs/>
          <w:color w:val="000000"/>
          <w:sz w:val="24"/>
          <w:szCs w:val="24"/>
        </w:rPr>
        <w:t xml:space="preserve">Pop </w:t>
      </w:r>
      <w:r w:rsidRPr="002F5D1A">
        <w:rPr>
          <w:rFonts w:ascii="Tahoma" w:hAnsi="Tahoma" w:cs="Tahoma"/>
          <w:bCs/>
          <w:color w:val="000000"/>
          <w:sz w:val="24"/>
          <w:szCs w:val="24"/>
        </w:rPr>
        <w:t>or</w:t>
      </w:r>
      <w:r w:rsidRPr="002F5D1A">
        <w:rPr>
          <w:rFonts w:ascii="Tahoma" w:hAnsi="Tahoma" w:cs="Tahoma"/>
          <w:b/>
          <w:bCs/>
          <w:color w:val="000000"/>
          <w:sz w:val="24"/>
          <w:szCs w:val="24"/>
        </w:rPr>
        <w:t xml:space="preserve"> </w:t>
      </w:r>
      <w:proofErr w:type="spellStart"/>
      <w:r w:rsidRPr="002F5D1A">
        <w:rPr>
          <w:rFonts w:ascii="Tahoma" w:hAnsi="Tahoma" w:cs="Tahoma"/>
          <w:b/>
          <w:bCs/>
          <w:iCs/>
          <w:color w:val="000000"/>
          <w:sz w:val="24"/>
          <w:szCs w:val="24"/>
        </w:rPr>
        <w:t>Pipersburgh</w:t>
      </w:r>
      <w:proofErr w:type="spellEnd"/>
      <w:r w:rsidRPr="002F5D1A">
        <w:rPr>
          <w:rFonts w:ascii="Tahoma" w:hAnsi="Tahoma" w:cs="Tahoma"/>
          <w:b/>
          <w:bCs/>
          <w:iCs/>
          <w:color w:val="000000"/>
          <w:sz w:val="24"/>
          <w:szCs w:val="24"/>
        </w:rPr>
        <w:t xml:space="preserve"> &amp; </w:t>
      </w:r>
      <w:proofErr w:type="spellStart"/>
      <w:r w:rsidRPr="002F5D1A">
        <w:rPr>
          <w:rFonts w:ascii="Tahoma" w:hAnsi="Tahoma" w:cs="Tahoma"/>
          <w:b/>
          <w:bCs/>
          <w:iCs/>
          <w:color w:val="000000"/>
          <w:sz w:val="24"/>
          <w:szCs w:val="24"/>
        </w:rPr>
        <w:t>Robateau</w:t>
      </w:r>
      <w:proofErr w:type="spellEnd"/>
      <w:r w:rsidR="00BD2B13">
        <w:rPr>
          <w:rFonts w:ascii="Tahoma" w:hAnsi="Tahoma" w:cs="Tahoma"/>
          <w:b/>
          <w:bCs/>
          <w:iCs/>
          <w:color w:val="000000"/>
          <w:sz w:val="24"/>
          <w:szCs w:val="24"/>
        </w:rPr>
        <w:t xml:space="preserve"> </w:t>
      </w:r>
      <w:r>
        <w:rPr>
          <w:rFonts w:ascii="Tahoma" w:hAnsi="Tahoma" w:cs="Tahoma"/>
          <w:bCs/>
          <w:color w:val="000000"/>
          <w:sz w:val="24"/>
          <w:szCs w:val="24"/>
        </w:rPr>
        <w:t>as regards</w:t>
      </w:r>
      <w:r w:rsidRPr="002F5D1A">
        <w:rPr>
          <w:rFonts w:ascii="Tahoma" w:hAnsi="Tahoma" w:cs="Tahoma"/>
          <w:bCs/>
          <w:color w:val="000000"/>
          <w:sz w:val="24"/>
          <w:szCs w:val="24"/>
        </w:rPr>
        <w:t xml:space="preserve"> the admissibility of </w:t>
      </w:r>
      <w:proofErr w:type="gramStart"/>
      <w:r w:rsidRPr="002F5D1A">
        <w:rPr>
          <w:rFonts w:ascii="Tahoma" w:hAnsi="Tahoma" w:cs="Tahoma"/>
          <w:bCs/>
          <w:color w:val="000000"/>
          <w:sz w:val="24"/>
          <w:szCs w:val="24"/>
        </w:rPr>
        <w:t>a dock</w:t>
      </w:r>
      <w:proofErr w:type="gramEnd"/>
      <w:r w:rsidRPr="002F5D1A">
        <w:rPr>
          <w:rFonts w:ascii="Tahoma" w:hAnsi="Tahoma" w:cs="Tahoma"/>
          <w:bCs/>
          <w:color w:val="000000"/>
          <w:sz w:val="24"/>
          <w:szCs w:val="24"/>
        </w:rPr>
        <w:t xml:space="preserve"> identification </w:t>
      </w:r>
      <w:r w:rsidRPr="002F5D1A">
        <w:rPr>
          <w:rFonts w:ascii="Tahoma" w:hAnsi="Tahoma" w:cs="Tahoma"/>
          <w:bCs/>
          <w:iCs/>
          <w:color w:val="000000"/>
          <w:sz w:val="24"/>
          <w:szCs w:val="24"/>
        </w:rPr>
        <w:t xml:space="preserve">and </w:t>
      </w:r>
      <w:r>
        <w:rPr>
          <w:rFonts w:ascii="Tahoma" w:hAnsi="Tahoma" w:cs="Tahoma"/>
          <w:bCs/>
          <w:iCs/>
          <w:color w:val="000000"/>
          <w:sz w:val="24"/>
          <w:szCs w:val="24"/>
        </w:rPr>
        <w:t>accordingly thought</w:t>
      </w:r>
      <w:r w:rsidRPr="002F5D1A">
        <w:rPr>
          <w:rFonts w:ascii="Tahoma" w:hAnsi="Tahoma" w:cs="Tahoma"/>
          <w:bCs/>
          <w:iCs/>
          <w:color w:val="000000"/>
          <w:sz w:val="24"/>
          <w:szCs w:val="24"/>
        </w:rPr>
        <w:t xml:space="preserve"> it necessary to clarify the position </w:t>
      </w:r>
      <w:r>
        <w:rPr>
          <w:rFonts w:ascii="Tahoma" w:hAnsi="Tahoma" w:cs="Tahoma"/>
          <w:bCs/>
          <w:iCs/>
          <w:color w:val="000000"/>
          <w:sz w:val="24"/>
          <w:szCs w:val="24"/>
        </w:rPr>
        <w:t>as follows</w:t>
      </w:r>
      <w:r w:rsidRPr="002F5D1A">
        <w:rPr>
          <w:rFonts w:ascii="Tahoma" w:hAnsi="Tahoma" w:cs="Tahoma"/>
          <w:bCs/>
          <w:iCs/>
          <w:color w:val="000000"/>
          <w:sz w:val="24"/>
          <w:szCs w:val="24"/>
        </w:rPr>
        <w:t>:</w:t>
      </w:r>
    </w:p>
    <w:p w:rsidR="00D56129" w:rsidRDefault="002F5D1A" w:rsidP="00370BB3">
      <w:pPr>
        <w:spacing w:before="100" w:beforeAutospacing="1" w:after="100" w:afterAutospacing="1" w:line="240" w:lineRule="auto"/>
        <w:ind w:left="1440" w:right="1440"/>
        <w:jc w:val="both"/>
        <w:rPr>
          <w:rFonts w:ascii="Tahoma" w:eastAsia="Times New Roman" w:hAnsi="Tahoma" w:cs="Tahoma"/>
          <w:bCs/>
          <w:color w:val="000000"/>
          <w:sz w:val="24"/>
          <w:szCs w:val="24"/>
        </w:rPr>
      </w:pPr>
      <w:bookmarkStart w:id="10" w:name="para21"/>
      <w:r w:rsidRPr="00370BB3">
        <w:rPr>
          <w:rFonts w:ascii="Tahoma" w:eastAsia="Times New Roman" w:hAnsi="Tahoma" w:cs="Tahoma"/>
          <w:bCs/>
          <w:color w:val="000000"/>
          <w:sz w:val="24"/>
          <w:szCs w:val="24"/>
        </w:rPr>
        <w:t>“</w:t>
      </w:r>
      <w:r w:rsidR="00D56129" w:rsidRPr="00D56129">
        <w:rPr>
          <w:rFonts w:ascii="Tahoma" w:eastAsia="Times New Roman" w:hAnsi="Tahoma" w:cs="Tahoma"/>
          <w:bCs/>
          <w:color w:val="000000"/>
          <w:sz w:val="24"/>
          <w:szCs w:val="24"/>
        </w:rPr>
        <w:t xml:space="preserve">The Board therefore considers that it is important to make clear that </w:t>
      </w:r>
      <w:proofErr w:type="gramStart"/>
      <w:r w:rsidR="00D56129" w:rsidRPr="00D56129">
        <w:rPr>
          <w:rFonts w:ascii="Tahoma" w:eastAsia="Times New Roman" w:hAnsi="Tahoma" w:cs="Tahoma"/>
          <w:bCs/>
          <w:color w:val="000000"/>
          <w:sz w:val="24"/>
          <w:szCs w:val="24"/>
        </w:rPr>
        <w:t>a dock</w:t>
      </w:r>
      <w:proofErr w:type="gramEnd"/>
      <w:r w:rsidR="00D56129" w:rsidRPr="00D56129">
        <w:rPr>
          <w:rFonts w:ascii="Tahoma" w:eastAsia="Times New Roman" w:hAnsi="Tahoma" w:cs="Tahoma"/>
          <w:bCs/>
          <w:color w:val="000000"/>
          <w:sz w:val="24"/>
          <w:szCs w:val="24"/>
        </w:rPr>
        <w:t xml:space="preserve"> identification is not inadmissible evidence per se and that the admission of such evidence is not to be regarded as permissible in only the most exceptional circumstances. A trial judge will always need to consider, however, whether the admission of such testimony, particularly where it is the first occasion on which the accused is purportedly identified, should be permitted on the basis that its admission might imperil the fair trial of the accused. Where it is decided that the evidence may be admitted, it will always be necessary to give the jury careful </w:t>
      </w:r>
      <w:r w:rsidR="00D56129" w:rsidRPr="00D56129">
        <w:rPr>
          <w:rFonts w:ascii="Tahoma" w:eastAsia="Times New Roman" w:hAnsi="Tahoma" w:cs="Tahoma"/>
          <w:bCs/>
          <w:color w:val="000000"/>
          <w:sz w:val="24"/>
          <w:szCs w:val="24"/>
        </w:rPr>
        <w:lastRenderedPageBreak/>
        <w:t xml:space="preserve">directions as to the dangers of relying on that evidence and in particular to warn them of the disadvantages to the accused of having been denied the opportunity of participating in an identification parade, if indeed he has been deprived of that opportunity. In such circumstances the judge should draw directly to the attention of the jury that the possibility of an inconclusive result to an identification parade, if it had </w:t>
      </w:r>
      <w:proofErr w:type="spellStart"/>
      <w:r w:rsidR="00D56129" w:rsidRPr="00D56129">
        <w:rPr>
          <w:rFonts w:ascii="Tahoma" w:eastAsia="Times New Roman" w:hAnsi="Tahoma" w:cs="Tahoma"/>
          <w:bCs/>
          <w:color w:val="000000"/>
          <w:sz w:val="24"/>
          <w:szCs w:val="24"/>
        </w:rPr>
        <w:t>materialised</w:t>
      </w:r>
      <w:proofErr w:type="spellEnd"/>
      <w:r w:rsidR="00D56129" w:rsidRPr="00D56129">
        <w:rPr>
          <w:rFonts w:ascii="Tahoma" w:eastAsia="Times New Roman" w:hAnsi="Tahoma" w:cs="Tahoma"/>
          <w:bCs/>
          <w:color w:val="000000"/>
          <w:sz w:val="24"/>
          <w:szCs w:val="24"/>
        </w:rPr>
        <w:t>, could have been deployed on the accused's behalf to cast doubt on the accuracy of any subsequent identification. The jury should also be reminded of the obvious danger that a defendant occupying the dock might automatically be assumed by even a well-intentioned eye-witness to be the person who had committed the crime with which he or she was charged.</w:t>
      </w:r>
      <w:bookmarkEnd w:id="10"/>
      <w:r w:rsidR="00370BB3" w:rsidRPr="00370BB3">
        <w:rPr>
          <w:rFonts w:ascii="Tahoma" w:eastAsia="Times New Roman" w:hAnsi="Tahoma" w:cs="Tahoma"/>
          <w:bCs/>
          <w:color w:val="000000"/>
          <w:sz w:val="24"/>
          <w:szCs w:val="24"/>
        </w:rPr>
        <w:t>”</w:t>
      </w:r>
    </w:p>
    <w:p w:rsidR="00E07184" w:rsidRDefault="00E07184" w:rsidP="000E6F97">
      <w:pPr>
        <w:spacing w:after="0" w:line="240" w:lineRule="auto"/>
        <w:jc w:val="both"/>
        <w:rPr>
          <w:rFonts w:ascii="Tahoma" w:eastAsia="Times New Roman" w:hAnsi="Tahoma" w:cs="Tahoma"/>
          <w:bCs/>
          <w:color w:val="000000"/>
          <w:sz w:val="24"/>
          <w:szCs w:val="24"/>
        </w:rPr>
      </w:pPr>
    </w:p>
    <w:p w:rsidR="00370BB3" w:rsidRDefault="00370BB3" w:rsidP="00E07184">
      <w:pPr>
        <w:spacing w:before="100" w:beforeAutospacing="1" w:after="100" w:afterAutospacing="1" w:line="480" w:lineRule="auto"/>
        <w:jc w:val="both"/>
        <w:rPr>
          <w:rStyle w:val="apple-converted-space"/>
          <w:b/>
          <w:bCs/>
          <w:color w:val="000000"/>
          <w:sz w:val="27"/>
          <w:szCs w:val="27"/>
        </w:rPr>
      </w:pPr>
      <w:r>
        <w:rPr>
          <w:rFonts w:ascii="Tahoma" w:eastAsia="Times New Roman" w:hAnsi="Tahoma" w:cs="Tahoma"/>
          <w:bCs/>
          <w:color w:val="000000"/>
          <w:sz w:val="24"/>
          <w:szCs w:val="24"/>
        </w:rPr>
        <w:t>2</w:t>
      </w:r>
      <w:r w:rsidR="00F76A0B">
        <w:rPr>
          <w:rFonts w:ascii="Tahoma" w:eastAsia="Times New Roman" w:hAnsi="Tahoma" w:cs="Tahoma"/>
          <w:bCs/>
          <w:color w:val="000000"/>
          <w:sz w:val="24"/>
          <w:szCs w:val="24"/>
        </w:rPr>
        <w:t>6</w:t>
      </w:r>
      <w:r>
        <w:rPr>
          <w:rFonts w:ascii="Tahoma" w:eastAsia="Times New Roman" w:hAnsi="Tahoma" w:cs="Tahoma"/>
          <w:bCs/>
          <w:color w:val="000000"/>
          <w:sz w:val="24"/>
          <w:szCs w:val="24"/>
        </w:rPr>
        <w:t xml:space="preserve">.   </w:t>
      </w:r>
      <w:r w:rsidR="00B270B4">
        <w:rPr>
          <w:rFonts w:ascii="Tahoma" w:eastAsia="Times New Roman" w:hAnsi="Tahoma" w:cs="Tahoma"/>
          <w:bCs/>
          <w:color w:val="000000"/>
          <w:sz w:val="24"/>
          <w:szCs w:val="24"/>
        </w:rPr>
        <w:t>Lord Kerr went on to outline some of the considerations that might inform the trial judge’s exercise of his discretion to admit the evidence of the dock identification, pointing out</w:t>
      </w:r>
      <w:r w:rsidR="00AE12F2">
        <w:rPr>
          <w:rStyle w:val="FootnoteReference"/>
          <w:rFonts w:ascii="Tahoma" w:eastAsia="Times New Roman" w:hAnsi="Tahoma" w:cs="Tahoma"/>
          <w:bCs/>
          <w:color w:val="000000"/>
          <w:sz w:val="24"/>
          <w:szCs w:val="24"/>
        </w:rPr>
        <w:footnoteReference w:id="37"/>
      </w:r>
      <w:r w:rsidR="00B270B4">
        <w:rPr>
          <w:rFonts w:ascii="Tahoma" w:eastAsia="Times New Roman" w:hAnsi="Tahoma" w:cs="Tahoma"/>
          <w:bCs/>
          <w:color w:val="000000"/>
          <w:sz w:val="24"/>
          <w:szCs w:val="24"/>
        </w:rPr>
        <w:t xml:space="preserve"> that the discretion </w:t>
      </w:r>
      <w:r w:rsidR="00B270B4" w:rsidRPr="00B270B4">
        <w:rPr>
          <w:rFonts w:ascii="Tahoma" w:hAnsi="Tahoma" w:cs="Tahoma"/>
          <w:bCs/>
          <w:color w:val="000000"/>
          <w:sz w:val="24"/>
          <w:szCs w:val="24"/>
        </w:rPr>
        <w:t>must be exercised in light of the particular circumstances of the individual case. Among the relevant circumstances will always be consideration of why an identification parade was not held and, if there was no good reason not to hold the parade, this will militate against the admission of the evidence. On the other hand, “if the defendant resolutely resists participation in an identification parade, this may be a good reason for admitting the evidence”.</w:t>
      </w:r>
      <w:r w:rsidR="00AE12F2">
        <w:rPr>
          <w:rFonts w:ascii="Tahoma" w:hAnsi="Tahoma" w:cs="Tahoma"/>
          <w:bCs/>
          <w:color w:val="000000"/>
          <w:sz w:val="24"/>
          <w:szCs w:val="24"/>
        </w:rPr>
        <w:t xml:space="preserve"> </w:t>
      </w:r>
      <w:r>
        <w:rPr>
          <w:rFonts w:ascii="Tahoma" w:eastAsia="Times New Roman" w:hAnsi="Tahoma" w:cs="Tahoma"/>
          <w:bCs/>
          <w:color w:val="000000"/>
          <w:sz w:val="24"/>
          <w:szCs w:val="24"/>
        </w:rPr>
        <w:t>In this case, where no good reason for failing to hold an identification parade was given by the prosecution</w:t>
      </w:r>
      <w:r w:rsidR="00AE12F2">
        <w:rPr>
          <w:rFonts w:ascii="Tahoma" w:eastAsia="Times New Roman" w:hAnsi="Tahoma" w:cs="Tahoma"/>
          <w:bCs/>
          <w:color w:val="000000"/>
          <w:sz w:val="24"/>
          <w:szCs w:val="24"/>
        </w:rPr>
        <w:t>,</w:t>
      </w:r>
      <w:r>
        <w:rPr>
          <w:rFonts w:ascii="Tahoma" w:eastAsia="Times New Roman" w:hAnsi="Tahoma" w:cs="Tahoma"/>
          <w:bCs/>
          <w:color w:val="000000"/>
          <w:sz w:val="24"/>
          <w:szCs w:val="24"/>
        </w:rPr>
        <w:t xml:space="preserve"> the Board held </w:t>
      </w:r>
      <w:r w:rsidRPr="00370BB3">
        <w:rPr>
          <w:rFonts w:ascii="Tahoma" w:eastAsia="Times New Roman" w:hAnsi="Tahoma" w:cs="Tahoma"/>
          <w:bCs/>
          <w:color w:val="000000"/>
          <w:sz w:val="24"/>
          <w:szCs w:val="24"/>
        </w:rPr>
        <w:t>that</w:t>
      </w:r>
      <w:bookmarkStart w:id="11" w:name="para27"/>
      <w:r w:rsidRPr="00370BB3">
        <w:rPr>
          <w:rFonts w:ascii="Tahoma" w:hAnsi="Tahoma" w:cs="Tahoma"/>
          <w:bCs/>
          <w:color w:val="000000"/>
          <w:sz w:val="24"/>
          <w:szCs w:val="24"/>
        </w:rPr>
        <w:t xml:space="preserve"> the directions of the judge on the issue of the dock identification </w:t>
      </w:r>
      <w:r w:rsidRPr="00370BB3">
        <w:rPr>
          <w:rFonts w:ascii="Tahoma" w:hAnsi="Tahoma" w:cs="Tahoma"/>
          <w:bCs/>
          <w:color w:val="000000"/>
          <w:sz w:val="24"/>
          <w:szCs w:val="24"/>
        </w:rPr>
        <w:lastRenderedPageBreak/>
        <w:t>were inadequate.</w:t>
      </w:r>
      <w:bookmarkEnd w:id="11"/>
      <w:r w:rsidR="00E07184">
        <w:rPr>
          <w:rFonts w:ascii="Tahoma" w:hAnsi="Tahoma" w:cs="Tahoma"/>
          <w:bCs/>
          <w:color w:val="000000"/>
          <w:sz w:val="24"/>
          <w:szCs w:val="24"/>
        </w:rPr>
        <w:t xml:space="preserve"> </w:t>
      </w:r>
      <w:r w:rsidR="00AE12F2">
        <w:rPr>
          <w:rFonts w:ascii="Tahoma" w:hAnsi="Tahoma" w:cs="Tahoma"/>
          <w:bCs/>
          <w:color w:val="000000"/>
          <w:sz w:val="24"/>
          <w:szCs w:val="24"/>
        </w:rPr>
        <w:t>However</w:t>
      </w:r>
      <w:r w:rsidR="00E07184">
        <w:rPr>
          <w:rFonts w:ascii="Tahoma" w:hAnsi="Tahoma" w:cs="Tahoma"/>
          <w:bCs/>
          <w:color w:val="000000"/>
          <w:sz w:val="24"/>
          <w:szCs w:val="24"/>
        </w:rPr>
        <w:t>, the appellant’s conviction was not disturbed, because, as Lord Kerr put it</w:t>
      </w:r>
      <w:r w:rsidR="00E07184">
        <w:rPr>
          <w:rStyle w:val="FootnoteReference"/>
          <w:rFonts w:ascii="Tahoma" w:hAnsi="Tahoma" w:cs="Tahoma"/>
          <w:bCs/>
          <w:color w:val="000000"/>
          <w:sz w:val="24"/>
          <w:szCs w:val="24"/>
        </w:rPr>
        <w:footnoteReference w:id="38"/>
      </w:r>
      <w:r w:rsidR="00E07184">
        <w:rPr>
          <w:rFonts w:ascii="Tahoma" w:hAnsi="Tahoma" w:cs="Tahoma"/>
          <w:bCs/>
          <w:color w:val="000000"/>
          <w:sz w:val="24"/>
          <w:szCs w:val="24"/>
        </w:rPr>
        <w:t xml:space="preserve">, </w:t>
      </w:r>
      <w:r w:rsidR="00B270B4">
        <w:rPr>
          <w:rFonts w:ascii="Tahoma" w:hAnsi="Tahoma" w:cs="Tahoma"/>
          <w:bCs/>
          <w:color w:val="000000"/>
          <w:sz w:val="24"/>
          <w:szCs w:val="24"/>
        </w:rPr>
        <w:t>“</w:t>
      </w:r>
      <w:bookmarkStart w:id="12" w:name="para31"/>
      <w:r w:rsidR="00B270B4" w:rsidRPr="00B270B4">
        <w:rPr>
          <w:rFonts w:ascii="Tahoma" w:hAnsi="Tahoma" w:cs="Tahoma"/>
          <w:bCs/>
          <w:color w:val="000000"/>
          <w:sz w:val="24"/>
          <w:szCs w:val="24"/>
        </w:rPr>
        <w:t>the evidence against the appellant was simply overwhelming</w:t>
      </w:r>
      <w:r w:rsidR="00B270B4">
        <w:rPr>
          <w:b/>
          <w:bCs/>
          <w:color w:val="000000"/>
          <w:sz w:val="27"/>
          <w:szCs w:val="27"/>
        </w:rPr>
        <w:t>”.</w:t>
      </w:r>
      <w:r w:rsidR="00B270B4">
        <w:rPr>
          <w:rStyle w:val="apple-converted-space"/>
          <w:b/>
          <w:bCs/>
          <w:color w:val="000000"/>
          <w:sz w:val="27"/>
          <w:szCs w:val="27"/>
        </w:rPr>
        <w:t> </w:t>
      </w:r>
      <w:bookmarkEnd w:id="12"/>
    </w:p>
    <w:p w:rsidR="0053519F" w:rsidRDefault="0053519F" w:rsidP="00E07184">
      <w:pPr>
        <w:spacing w:before="100" w:beforeAutospacing="1" w:after="100" w:afterAutospacing="1" w:line="480" w:lineRule="auto"/>
        <w:jc w:val="both"/>
        <w:rPr>
          <w:rStyle w:val="apple-converted-space"/>
          <w:rFonts w:ascii="Tahoma" w:hAnsi="Tahoma" w:cs="Tahoma"/>
          <w:bCs/>
          <w:color w:val="000000"/>
          <w:sz w:val="24"/>
          <w:szCs w:val="24"/>
        </w:rPr>
      </w:pPr>
      <w:r w:rsidRPr="0053519F">
        <w:rPr>
          <w:rStyle w:val="apple-converted-space"/>
          <w:bCs/>
          <w:color w:val="000000"/>
          <w:sz w:val="27"/>
          <w:szCs w:val="27"/>
        </w:rPr>
        <w:t>2</w:t>
      </w:r>
      <w:r w:rsidR="00F76A0B">
        <w:rPr>
          <w:rStyle w:val="apple-converted-space"/>
          <w:bCs/>
          <w:color w:val="000000"/>
          <w:sz w:val="27"/>
          <w:szCs w:val="27"/>
        </w:rPr>
        <w:t>7</w:t>
      </w:r>
      <w:r w:rsidRPr="0053519F">
        <w:rPr>
          <w:rStyle w:val="apple-converted-space"/>
          <w:bCs/>
          <w:color w:val="000000"/>
          <w:sz w:val="27"/>
          <w:szCs w:val="27"/>
        </w:rPr>
        <w:t>.</w:t>
      </w:r>
      <w:r>
        <w:rPr>
          <w:rStyle w:val="apple-converted-space"/>
          <w:bCs/>
          <w:color w:val="000000"/>
          <w:sz w:val="27"/>
          <w:szCs w:val="27"/>
        </w:rPr>
        <w:t xml:space="preserve">   </w:t>
      </w:r>
      <w:r w:rsidRPr="0053519F">
        <w:rPr>
          <w:rStyle w:val="apple-converted-space"/>
          <w:rFonts w:ascii="Tahoma" w:hAnsi="Tahoma" w:cs="Tahoma"/>
          <w:bCs/>
          <w:color w:val="000000"/>
          <w:sz w:val="24"/>
          <w:szCs w:val="24"/>
        </w:rPr>
        <w:t xml:space="preserve">The decision in </w:t>
      </w:r>
      <w:proofErr w:type="spellStart"/>
      <w:r w:rsidRPr="0053519F">
        <w:rPr>
          <w:rStyle w:val="apple-converted-space"/>
          <w:rFonts w:ascii="Tahoma" w:hAnsi="Tahoma" w:cs="Tahoma"/>
          <w:b/>
          <w:bCs/>
          <w:color w:val="000000"/>
          <w:sz w:val="24"/>
          <w:szCs w:val="24"/>
        </w:rPr>
        <w:t>Tido</w:t>
      </w:r>
      <w:proofErr w:type="spellEnd"/>
      <w:r w:rsidRPr="0053519F">
        <w:rPr>
          <w:rStyle w:val="apple-converted-space"/>
          <w:rFonts w:ascii="Tahoma" w:hAnsi="Tahoma" w:cs="Tahoma"/>
          <w:bCs/>
          <w:color w:val="000000"/>
          <w:sz w:val="24"/>
          <w:szCs w:val="24"/>
        </w:rPr>
        <w:t xml:space="preserve"> </w:t>
      </w:r>
      <w:r w:rsidR="003A1B7B">
        <w:rPr>
          <w:rStyle w:val="apple-converted-space"/>
          <w:rFonts w:ascii="Tahoma" w:hAnsi="Tahoma" w:cs="Tahoma"/>
          <w:bCs/>
          <w:color w:val="000000"/>
          <w:sz w:val="24"/>
          <w:szCs w:val="24"/>
        </w:rPr>
        <w:t>may now be taken to have settled this aspect of the matter</w:t>
      </w:r>
      <w:r w:rsidR="008428A3">
        <w:rPr>
          <w:rStyle w:val="apple-converted-space"/>
          <w:rFonts w:ascii="Tahoma" w:hAnsi="Tahoma" w:cs="Tahoma"/>
          <w:bCs/>
          <w:color w:val="000000"/>
          <w:sz w:val="24"/>
          <w:szCs w:val="24"/>
        </w:rPr>
        <w:t xml:space="preserve">. It has since been </w:t>
      </w:r>
      <w:r w:rsidRPr="0053519F">
        <w:rPr>
          <w:rStyle w:val="apple-converted-space"/>
          <w:rFonts w:ascii="Tahoma" w:hAnsi="Tahoma" w:cs="Tahoma"/>
          <w:bCs/>
          <w:color w:val="000000"/>
          <w:sz w:val="24"/>
          <w:szCs w:val="24"/>
        </w:rPr>
        <w:t xml:space="preserve">applied by the Board </w:t>
      </w:r>
      <w:r>
        <w:rPr>
          <w:rStyle w:val="apple-converted-space"/>
          <w:rFonts w:ascii="Tahoma" w:hAnsi="Tahoma" w:cs="Tahoma"/>
          <w:bCs/>
          <w:color w:val="000000"/>
          <w:sz w:val="24"/>
          <w:szCs w:val="24"/>
        </w:rPr>
        <w:t xml:space="preserve">in </w:t>
      </w:r>
      <w:proofErr w:type="spellStart"/>
      <w:r w:rsidRPr="0053519F">
        <w:rPr>
          <w:rStyle w:val="apple-converted-space"/>
          <w:rFonts w:ascii="Tahoma" w:hAnsi="Tahoma" w:cs="Tahoma"/>
          <w:b/>
          <w:bCs/>
          <w:color w:val="000000"/>
          <w:sz w:val="24"/>
          <w:szCs w:val="24"/>
        </w:rPr>
        <w:t>Neilly</w:t>
      </w:r>
      <w:proofErr w:type="spellEnd"/>
      <w:r w:rsidRPr="0053519F">
        <w:rPr>
          <w:rStyle w:val="apple-converted-space"/>
          <w:rFonts w:ascii="Tahoma" w:hAnsi="Tahoma" w:cs="Tahoma"/>
          <w:b/>
          <w:bCs/>
          <w:color w:val="000000"/>
          <w:sz w:val="24"/>
          <w:szCs w:val="24"/>
        </w:rPr>
        <w:t xml:space="preserve"> v R</w:t>
      </w:r>
      <w:r w:rsidRPr="0053519F">
        <w:rPr>
          <w:rStyle w:val="FootnoteReference"/>
          <w:rFonts w:ascii="Tahoma" w:hAnsi="Tahoma" w:cs="Tahoma"/>
          <w:bCs/>
          <w:color w:val="000000"/>
          <w:sz w:val="24"/>
          <w:szCs w:val="24"/>
        </w:rPr>
        <w:footnoteReference w:id="39"/>
      </w:r>
      <w:r w:rsidR="008428A3">
        <w:rPr>
          <w:rStyle w:val="apple-converted-space"/>
          <w:rFonts w:ascii="Tahoma" w:hAnsi="Tahoma" w:cs="Tahoma"/>
          <w:b/>
          <w:bCs/>
          <w:color w:val="000000"/>
          <w:sz w:val="24"/>
          <w:szCs w:val="24"/>
        </w:rPr>
        <w:t xml:space="preserve"> </w:t>
      </w:r>
      <w:r w:rsidR="008428A3" w:rsidRPr="008428A3">
        <w:rPr>
          <w:rStyle w:val="apple-converted-space"/>
          <w:rFonts w:ascii="Tahoma" w:hAnsi="Tahoma" w:cs="Tahoma"/>
          <w:bCs/>
          <w:color w:val="000000"/>
          <w:sz w:val="24"/>
          <w:szCs w:val="24"/>
        </w:rPr>
        <w:t>(also on appeal from The Bahamas),</w:t>
      </w:r>
      <w:r w:rsidR="008428A3">
        <w:rPr>
          <w:rStyle w:val="apple-converted-space"/>
          <w:rFonts w:ascii="Tahoma" w:hAnsi="Tahoma" w:cs="Tahoma"/>
          <w:b/>
          <w:bCs/>
          <w:color w:val="000000"/>
          <w:sz w:val="24"/>
          <w:szCs w:val="24"/>
        </w:rPr>
        <w:t xml:space="preserve"> </w:t>
      </w:r>
      <w:bookmarkStart w:id="13" w:name="para6"/>
      <w:r w:rsidR="005D0CE8">
        <w:rPr>
          <w:rStyle w:val="apple-converted-space"/>
          <w:rFonts w:ascii="Tahoma" w:hAnsi="Tahoma" w:cs="Tahoma"/>
          <w:b/>
          <w:bCs/>
          <w:color w:val="000000"/>
          <w:sz w:val="24"/>
          <w:szCs w:val="24"/>
        </w:rPr>
        <w:t xml:space="preserve">Nigel Brown v </w:t>
      </w:r>
      <w:r w:rsidR="000E6F97">
        <w:rPr>
          <w:rStyle w:val="apple-converted-space"/>
          <w:rFonts w:ascii="Tahoma" w:hAnsi="Tahoma" w:cs="Tahoma"/>
          <w:b/>
          <w:bCs/>
          <w:color w:val="000000"/>
          <w:sz w:val="24"/>
          <w:szCs w:val="24"/>
        </w:rPr>
        <w:t xml:space="preserve">The </w:t>
      </w:r>
      <w:r w:rsidR="005D0CE8">
        <w:rPr>
          <w:rStyle w:val="apple-converted-space"/>
          <w:rFonts w:ascii="Tahoma" w:hAnsi="Tahoma" w:cs="Tahoma"/>
          <w:b/>
          <w:bCs/>
          <w:color w:val="000000"/>
          <w:sz w:val="24"/>
          <w:szCs w:val="24"/>
        </w:rPr>
        <w:t>State</w:t>
      </w:r>
      <w:r w:rsidR="005D0CE8" w:rsidRPr="005D0CE8">
        <w:rPr>
          <w:rStyle w:val="FootnoteReference"/>
          <w:rFonts w:ascii="Tahoma" w:hAnsi="Tahoma" w:cs="Tahoma"/>
          <w:bCs/>
          <w:color w:val="000000"/>
          <w:sz w:val="24"/>
          <w:szCs w:val="24"/>
        </w:rPr>
        <w:footnoteReference w:id="40"/>
      </w:r>
      <w:r w:rsidR="000E6F97">
        <w:rPr>
          <w:rStyle w:val="apple-converted-space"/>
          <w:rFonts w:ascii="Tahoma" w:hAnsi="Tahoma" w:cs="Tahoma"/>
          <w:b/>
          <w:bCs/>
          <w:color w:val="000000"/>
          <w:sz w:val="24"/>
          <w:szCs w:val="24"/>
        </w:rPr>
        <w:t xml:space="preserve"> </w:t>
      </w:r>
      <w:r w:rsidR="000E6F97" w:rsidRPr="000E6F97">
        <w:rPr>
          <w:rStyle w:val="apple-converted-space"/>
          <w:rFonts w:ascii="Tahoma" w:hAnsi="Tahoma" w:cs="Tahoma"/>
          <w:bCs/>
          <w:color w:val="000000"/>
          <w:sz w:val="24"/>
          <w:szCs w:val="24"/>
        </w:rPr>
        <w:t>(a Trinidad &amp; Tobago appeal)</w:t>
      </w:r>
      <w:r w:rsidR="000E6F97">
        <w:rPr>
          <w:rStyle w:val="apple-converted-space"/>
          <w:rFonts w:ascii="Tahoma" w:hAnsi="Tahoma" w:cs="Tahoma"/>
          <w:bCs/>
          <w:color w:val="000000"/>
          <w:sz w:val="24"/>
          <w:szCs w:val="24"/>
        </w:rPr>
        <w:t>;</w:t>
      </w:r>
      <w:r w:rsidR="000E6F97" w:rsidRPr="000E6F97">
        <w:rPr>
          <w:rStyle w:val="apple-converted-space"/>
          <w:rFonts w:ascii="Tahoma" w:hAnsi="Tahoma" w:cs="Tahoma"/>
          <w:bCs/>
          <w:color w:val="000000"/>
          <w:sz w:val="24"/>
          <w:szCs w:val="24"/>
        </w:rPr>
        <w:t xml:space="preserve"> and</w:t>
      </w:r>
      <w:r w:rsidR="000E6F97">
        <w:rPr>
          <w:rStyle w:val="apple-converted-space"/>
          <w:rFonts w:ascii="Tahoma" w:hAnsi="Tahoma" w:cs="Tahoma"/>
          <w:b/>
          <w:bCs/>
          <w:color w:val="000000"/>
          <w:sz w:val="24"/>
          <w:szCs w:val="24"/>
        </w:rPr>
        <w:t xml:space="preserve"> </w:t>
      </w:r>
      <w:r w:rsidR="008428A3" w:rsidRPr="008428A3">
        <w:rPr>
          <w:rFonts w:ascii="Tahoma" w:hAnsi="Tahoma" w:cs="Tahoma"/>
          <w:b/>
          <w:bCs/>
          <w:iCs/>
          <w:color w:val="000000"/>
          <w:sz w:val="24"/>
          <w:szCs w:val="24"/>
        </w:rPr>
        <w:t xml:space="preserve">France &amp; </w:t>
      </w:r>
      <w:proofErr w:type="spellStart"/>
      <w:r w:rsidR="008428A3" w:rsidRPr="008428A3">
        <w:rPr>
          <w:rFonts w:ascii="Tahoma" w:hAnsi="Tahoma" w:cs="Tahoma"/>
          <w:b/>
          <w:bCs/>
          <w:iCs/>
          <w:color w:val="000000"/>
          <w:sz w:val="24"/>
          <w:szCs w:val="24"/>
        </w:rPr>
        <w:t>Vassell</w:t>
      </w:r>
      <w:proofErr w:type="spellEnd"/>
      <w:r w:rsidR="008428A3" w:rsidRPr="008428A3">
        <w:rPr>
          <w:rFonts w:ascii="Tahoma" w:hAnsi="Tahoma" w:cs="Tahoma"/>
          <w:b/>
          <w:bCs/>
          <w:iCs/>
          <w:color w:val="000000"/>
          <w:sz w:val="24"/>
          <w:szCs w:val="24"/>
        </w:rPr>
        <w:t xml:space="preserve"> v R</w:t>
      </w:r>
      <w:bookmarkEnd w:id="13"/>
      <w:r w:rsidR="008428A3" w:rsidRPr="008428A3">
        <w:rPr>
          <w:rFonts w:ascii="Tahoma" w:hAnsi="Tahoma" w:cs="Tahoma"/>
          <w:b/>
          <w:bCs/>
          <w:iCs/>
          <w:color w:val="000000"/>
          <w:sz w:val="24"/>
          <w:szCs w:val="24"/>
        </w:rPr>
        <w:t xml:space="preserve"> </w:t>
      </w:r>
      <w:r w:rsidR="008428A3" w:rsidRPr="008428A3">
        <w:rPr>
          <w:rFonts w:ascii="Tahoma" w:hAnsi="Tahoma" w:cs="Tahoma"/>
          <w:bCs/>
          <w:iCs/>
          <w:color w:val="000000"/>
          <w:sz w:val="24"/>
          <w:szCs w:val="24"/>
        </w:rPr>
        <w:t xml:space="preserve">and </w:t>
      </w:r>
      <w:r w:rsidR="008428A3" w:rsidRPr="008428A3">
        <w:rPr>
          <w:rFonts w:ascii="Tahoma" w:hAnsi="Tahoma" w:cs="Tahoma"/>
          <w:b/>
          <w:bCs/>
          <w:iCs/>
          <w:color w:val="000000"/>
          <w:sz w:val="24"/>
          <w:szCs w:val="24"/>
        </w:rPr>
        <w:t>Jason Lawrence v R</w:t>
      </w:r>
      <w:r w:rsidR="008428A3" w:rsidRPr="005D0CE8">
        <w:rPr>
          <w:rStyle w:val="FootnoteReference"/>
          <w:rFonts w:ascii="Tahoma" w:hAnsi="Tahoma" w:cs="Tahoma"/>
          <w:bCs/>
          <w:iCs/>
          <w:color w:val="000000"/>
          <w:sz w:val="24"/>
          <w:szCs w:val="24"/>
        </w:rPr>
        <w:footnoteReference w:id="41"/>
      </w:r>
      <w:r w:rsidRPr="008428A3">
        <w:rPr>
          <w:rStyle w:val="apple-converted-space"/>
          <w:rFonts w:ascii="Tahoma" w:hAnsi="Tahoma" w:cs="Tahoma"/>
          <w:bCs/>
          <w:color w:val="000000"/>
          <w:sz w:val="24"/>
          <w:szCs w:val="24"/>
        </w:rPr>
        <w:t xml:space="preserve"> </w:t>
      </w:r>
      <w:r w:rsidR="008428A3" w:rsidRPr="008428A3">
        <w:rPr>
          <w:rStyle w:val="apple-converted-space"/>
          <w:rFonts w:ascii="Tahoma" w:hAnsi="Tahoma" w:cs="Tahoma"/>
          <w:bCs/>
          <w:color w:val="000000"/>
          <w:sz w:val="24"/>
          <w:szCs w:val="24"/>
        </w:rPr>
        <w:t xml:space="preserve">(both </w:t>
      </w:r>
      <w:r w:rsidR="008428A3" w:rsidRPr="008428A3">
        <w:rPr>
          <w:rFonts w:ascii="Tahoma" w:hAnsi="Tahoma" w:cs="Tahoma"/>
          <w:bCs/>
          <w:iCs/>
          <w:color w:val="000000"/>
          <w:sz w:val="24"/>
          <w:szCs w:val="24"/>
        </w:rPr>
        <w:t>Jamaican appeals).</w:t>
      </w:r>
      <w:r w:rsidR="008428A3" w:rsidRPr="008428A3">
        <w:rPr>
          <w:rFonts w:ascii="Tahoma" w:hAnsi="Tahoma" w:cs="Tahoma"/>
          <w:b/>
          <w:bCs/>
          <w:iCs/>
          <w:color w:val="000000"/>
          <w:sz w:val="24"/>
          <w:szCs w:val="24"/>
        </w:rPr>
        <w:t xml:space="preserve"> </w:t>
      </w:r>
      <w:r w:rsidRPr="008428A3">
        <w:rPr>
          <w:rStyle w:val="apple-converted-space"/>
          <w:rFonts w:ascii="Tahoma" w:hAnsi="Tahoma" w:cs="Tahoma"/>
          <w:bCs/>
          <w:color w:val="000000"/>
          <w:sz w:val="24"/>
          <w:szCs w:val="24"/>
        </w:rPr>
        <w:t xml:space="preserve">  </w:t>
      </w:r>
    </w:p>
    <w:p w:rsidR="00CC09C9" w:rsidRPr="00CC09C9" w:rsidRDefault="00CC09C9" w:rsidP="009A698E">
      <w:pPr>
        <w:spacing w:before="100" w:beforeAutospacing="1" w:after="100" w:afterAutospacing="1" w:line="480" w:lineRule="auto"/>
        <w:jc w:val="both"/>
        <w:rPr>
          <w:rStyle w:val="apple-converted-space"/>
          <w:rFonts w:ascii="Tahoma" w:hAnsi="Tahoma" w:cs="Tahoma"/>
          <w:b/>
          <w:bCs/>
          <w:color w:val="000000"/>
          <w:sz w:val="24"/>
          <w:szCs w:val="24"/>
        </w:rPr>
      </w:pPr>
      <w:r w:rsidRPr="00CC09C9">
        <w:rPr>
          <w:rStyle w:val="apple-converted-space"/>
          <w:rFonts w:ascii="Tahoma" w:hAnsi="Tahoma" w:cs="Tahoma"/>
          <w:b/>
          <w:bCs/>
          <w:color w:val="000000"/>
          <w:sz w:val="24"/>
          <w:szCs w:val="24"/>
        </w:rPr>
        <w:t xml:space="preserve">Good </w:t>
      </w:r>
      <w:r>
        <w:rPr>
          <w:rStyle w:val="apple-converted-space"/>
          <w:rFonts w:ascii="Tahoma" w:hAnsi="Tahoma" w:cs="Tahoma"/>
          <w:b/>
          <w:bCs/>
          <w:color w:val="000000"/>
          <w:sz w:val="24"/>
          <w:szCs w:val="24"/>
        </w:rPr>
        <w:t>c</w:t>
      </w:r>
      <w:r w:rsidRPr="00CC09C9">
        <w:rPr>
          <w:rStyle w:val="apple-converted-space"/>
          <w:rFonts w:ascii="Tahoma" w:hAnsi="Tahoma" w:cs="Tahoma"/>
          <w:b/>
          <w:bCs/>
          <w:color w:val="000000"/>
          <w:sz w:val="24"/>
          <w:szCs w:val="24"/>
        </w:rPr>
        <w:t>haracter directions</w:t>
      </w:r>
    </w:p>
    <w:p w:rsidR="006D5F26" w:rsidRDefault="008428A3" w:rsidP="009A698E">
      <w:pPr>
        <w:spacing w:before="100" w:beforeAutospacing="1" w:after="100" w:afterAutospacing="1" w:line="480" w:lineRule="auto"/>
        <w:jc w:val="both"/>
        <w:rPr>
          <w:rStyle w:val="apple-converted-space"/>
          <w:rFonts w:ascii="Tahoma" w:hAnsi="Tahoma" w:cs="Tahoma"/>
          <w:bCs/>
          <w:color w:val="000000"/>
          <w:sz w:val="24"/>
          <w:szCs w:val="24"/>
        </w:rPr>
      </w:pPr>
      <w:r>
        <w:rPr>
          <w:rStyle w:val="apple-converted-space"/>
          <w:rFonts w:ascii="Tahoma" w:hAnsi="Tahoma" w:cs="Tahoma"/>
          <w:bCs/>
          <w:color w:val="000000"/>
          <w:sz w:val="24"/>
          <w:szCs w:val="24"/>
        </w:rPr>
        <w:t>2</w:t>
      </w:r>
      <w:r w:rsidR="00F76A0B">
        <w:rPr>
          <w:rStyle w:val="apple-converted-space"/>
          <w:rFonts w:ascii="Tahoma" w:hAnsi="Tahoma" w:cs="Tahoma"/>
          <w:bCs/>
          <w:color w:val="000000"/>
          <w:sz w:val="24"/>
          <w:szCs w:val="24"/>
        </w:rPr>
        <w:t>8</w:t>
      </w:r>
      <w:r>
        <w:rPr>
          <w:rStyle w:val="apple-converted-space"/>
          <w:rFonts w:ascii="Tahoma" w:hAnsi="Tahoma" w:cs="Tahoma"/>
          <w:bCs/>
          <w:color w:val="000000"/>
          <w:sz w:val="24"/>
          <w:szCs w:val="24"/>
        </w:rPr>
        <w:t>.</w:t>
      </w:r>
      <w:r w:rsidR="00065D64">
        <w:rPr>
          <w:rStyle w:val="apple-converted-space"/>
          <w:rFonts w:ascii="Tahoma" w:hAnsi="Tahoma" w:cs="Tahoma"/>
          <w:bCs/>
          <w:color w:val="000000"/>
          <w:sz w:val="24"/>
          <w:szCs w:val="24"/>
        </w:rPr>
        <w:t xml:space="preserve">   </w:t>
      </w:r>
      <w:r w:rsidR="009360EB">
        <w:rPr>
          <w:rStyle w:val="apple-converted-space"/>
          <w:rFonts w:ascii="Tahoma" w:hAnsi="Tahoma" w:cs="Tahoma"/>
          <w:bCs/>
          <w:color w:val="000000"/>
          <w:sz w:val="24"/>
          <w:szCs w:val="24"/>
        </w:rPr>
        <w:t>Although the accused was permitted to adduce evidence of his own good character for several centuries</w:t>
      </w:r>
      <w:r w:rsidR="009360EB">
        <w:rPr>
          <w:rStyle w:val="FootnoteReference"/>
          <w:rFonts w:ascii="Tahoma" w:hAnsi="Tahoma" w:cs="Tahoma"/>
          <w:bCs/>
          <w:color w:val="000000"/>
          <w:sz w:val="24"/>
          <w:szCs w:val="24"/>
        </w:rPr>
        <w:footnoteReference w:id="42"/>
      </w:r>
      <w:r w:rsidR="009360EB">
        <w:rPr>
          <w:rStyle w:val="apple-converted-space"/>
          <w:rFonts w:ascii="Tahoma" w:hAnsi="Tahoma" w:cs="Tahoma"/>
          <w:bCs/>
          <w:color w:val="000000"/>
          <w:sz w:val="24"/>
          <w:szCs w:val="24"/>
        </w:rPr>
        <w:t>, t</w:t>
      </w:r>
      <w:r w:rsidR="00065D64">
        <w:rPr>
          <w:rStyle w:val="apple-converted-space"/>
          <w:rFonts w:ascii="Tahoma" w:hAnsi="Tahoma" w:cs="Tahoma"/>
          <w:bCs/>
          <w:color w:val="000000"/>
          <w:sz w:val="24"/>
          <w:szCs w:val="24"/>
        </w:rPr>
        <w:t xml:space="preserve">he foundation of the modern law on good character directions is the decision of the Court of Appeal of England in </w:t>
      </w:r>
      <w:r w:rsidR="00065D64" w:rsidRPr="00065D64">
        <w:rPr>
          <w:rStyle w:val="apple-converted-space"/>
          <w:rFonts w:ascii="Tahoma" w:hAnsi="Tahoma" w:cs="Tahoma"/>
          <w:b/>
          <w:bCs/>
          <w:color w:val="000000"/>
          <w:sz w:val="24"/>
          <w:szCs w:val="24"/>
        </w:rPr>
        <w:t xml:space="preserve">R v </w:t>
      </w:r>
      <w:proofErr w:type="spellStart"/>
      <w:r w:rsidR="00065D64" w:rsidRPr="00065D64">
        <w:rPr>
          <w:rStyle w:val="apple-converted-space"/>
          <w:rFonts w:ascii="Tahoma" w:hAnsi="Tahoma" w:cs="Tahoma"/>
          <w:b/>
          <w:bCs/>
          <w:color w:val="000000"/>
          <w:sz w:val="24"/>
          <w:szCs w:val="24"/>
        </w:rPr>
        <w:t>Vye</w:t>
      </w:r>
      <w:proofErr w:type="spellEnd"/>
      <w:r w:rsidR="00065D64">
        <w:rPr>
          <w:rStyle w:val="FootnoteReference"/>
          <w:rFonts w:ascii="Tahoma" w:hAnsi="Tahoma" w:cs="Tahoma"/>
          <w:bCs/>
          <w:color w:val="000000"/>
          <w:sz w:val="24"/>
          <w:szCs w:val="24"/>
        </w:rPr>
        <w:footnoteReference w:id="43"/>
      </w:r>
      <w:r w:rsidR="009360EB" w:rsidRPr="009360EB">
        <w:rPr>
          <w:rStyle w:val="apple-converted-space"/>
          <w:rFonts w:ascii="Tahoma" w:hAnsi="Tahoma" w:cs="Tahoma"/>
          <w:bCs/>
          <w:color w:val="000000"/>
          <w:sz w:val="24"/>
          <w:szCs w:val="24"/>
        </w:rPr>
        <w:t>.</w:t>
      </w:r>
      <w:r w:rsidR="009360EB">
        <w:rPr>
          <w:rStyle w:val="apple-converted-space"/>
          <w:rFonts w:ascii="Tahoma" w:hAnsi="Tahoma" w:cs="Tahoma"/>
          <w:bCs/>
          <w:color w:val="000000"/>
          <w:sz w:val="24"/>
          <w:szCs w:val="24"/>
        </w:rPr>
        <w:t xml:space="preserve"> In a seminal judgment delivered by Lord Taylor CJ, </w:t>
      </w:r>
      <w:proofErr w:type="spellStart"/>
      <w:r w:rsidR="009360EB" w:rsidRPr="009360EB">
        <w:rPr>
          <w:rStyle w:val="apple-converted-space"/>
          <w:rFonts w:ascii="Tahoma" w:hAnsi="Tahoma" w:cs="Tahoma"/>
          <w:b/>
          <w:bCs/>
          <w:color w:val="000000"/>
          <w:sz w:val="24"/>
          <w:szCs w:val="24"/>
        </w:rPr>
        <w:t>Vye</w:t>
      </w:r>
      <w:proofErr w:type="spellEnd"/>
      <w:r w:rsidR="00065D64" w:rsidRPr="00065D64">
        <w:rPr>
          <w:rStyle w:val="apple-converted-space"/>
          <w:rFonts w:ascii="Tahoma" w:hAnsi="Tahoma" w:cs="Tahoma"/>
          <w:bCs/>
          <w:color w:val="000000"/>
          <w:sz w:val="24"/>
          <w:szCs w:val="24"/>
        </w:rPr>
        <w:t xml:space="preserve"> established that (</w:t>
      </w:r>
      <w:proofErr w:type="spellStart"/>
      <w:r w:rsidR="00065D64" w:rsidRPr="00065D64">
        <w:rPr>
          <w:rStyle w:val="apple-converted-space"/>
          <w:rFonts w:ascii="Tahoma" w:hAnsi="Tahoma" w:cs="Tahoma"/>
          <w:bCs/>
          <w:color w:val="000000"/>
          <w:sz w:val="24"/>
          <w:szCs w:val="24"/>
        </w:rPr>
        <w:t>i</w:t>
      </w:r>
      <w:proofErr w:type="spellEnd"/>
      <w:r w:rsidR="00065D64" w:rsidRPr="00065D64">
        <w:rPr>
          <w:rStyle w:val="apple-converted-space"/>
          <w:rFonts w:ascii="Tahoma" w:hAnsi="Tahoma" w:cs="Tahoma"/>
          <w:bCs/>
          <w:color w:val="000000"/>
          <w:sz w:val="24"/>
          <w:szCs w:val="24"/>
        </w:rPr>
        <w:t>) a direction as to the relevance of his good character to a defendant’s credibility is to be given wherever he has testified or made pre-trial answers or statements; and (ii) a direction as to the relevance of his good character to the likelihood of his having committed the offence for which he is charged is to be given</w:t>
      </w:r>
      <w:r w:rsidR="00065D64">
        <w:rPr>
          <w:rStyle w:val="apple-converted-space"/>
          <w:rFonts w:ascii="Tahoma" w:hAnsi="Tahoma" w:cs="Tahoma"/>
          <w:bCs/>
          <w:color w:val="000000"/>
          <w:sz w:val="24"/>
          <w:szCs w:val="24"/>
        </w:rPr>
        <w:t>,</w:t>
      </w:r>
      <w:r w:rsidR="00065D64" w:rsidRPr="00065D64">
        <w:rPr>
          <w:rStyle w:val="apple-converted-space"/>
          <w:rFonts w:ascii="Tahoma" w:hAnsi="Tahoma" w:cs="Tahoma"/>
          <w:bCs/>
          <w:color w:val="000000"/>
          <w:sz w:val="24"/>
          <w:szCs w:val="24"/>
        </w:rPr>
        <w:t xml:space="preserve"> whether or not he has testified, or made pre-trial answers or statements.</w:t>
      </w:r>
      <w:r>
        <w:rPr>
          <w:rStyle w:val="apple-converted-space"/>
          <w:rFonts w:ascii="Tahoma" w:hAnsi="Tahoma" w:cs="Tahoma"/>
          <w:bCs/>
          <w:color w:val="000000"/>
          <w:sz w:val="24"/>
          <w:szCs w:val="24"/>
        </w:rPr>
        <w:t xml:space="preserve"> </w:t>
      </w:r>
      <w:r w:rsidR="000E6F97">
        <w:rPr>
          <w:rStyle w:val="apple-converted-space"/>
          <w:rFonts w:ascii="Tahoma" w:hAnsi="Tahoma" w:cs="Tahoma"/>
          <w:bCs/>
          <w:color w:val="000000"/>
          <w:sz w:val="24"/>
          <w:szCs w:val="24"/>
        </w:rPr>
        <w:t xml:space="preserve">For convenience, as is well </w:t>
      </w:r>
      <w:r w:rsidR="00065D64">
        <w:rPr>
          <w:rStyle w:val="apple-converted-space"/>
          <w:rFonts w:ascii="Tahoma" w:hAnsi="Tahoma" w:cs="Tahoma"/>
          <w:bCs/>
          <w:color w:val="000000"/>
          <w:sz w:val="24"/>
          <w:szCs w:val="24"/>
        </w:rPr>
        <w:t xml:space="preserve">known, these two aspects of the standard good character direction are </w:t>
      </w:r>
      <w:r w:rsidR="009360EB">
        <w:rPr>
          <w:rStyle w:val="apple-converted-space"/>
          <w:rFonts w:ascii="Tahoma" w:hAnsi="Tahoma" w:cs="Tahoma"/>
          <w:bCs/>
          <w:color w:val="000000"/>
          <w:sz w:val="24"/>
          <w:szCs w:val="24"/>
        </w:rPr>
        <w:t xml:space="preserve">generally referred to </w:t>
      </w:r>
      <w:r w:rsidR="00065D64">
        <w:rPr>
          <w:rStyle w:val="apple-converted-space"/>
          <w:rFonts w:ascii="Tahoma" w:hAnsi="Tahoma" w:cs="Tahoma"/>
          <w:bCs/>
          <w:color w:val="000000"/>
          <w:sz w:val="24"/>
          <w:szCs w:val="24"/>
        </w:rPr>
        <w:t xml:space="preserve">as the ‘credibility’ and the </w:t>
      </w:r>
      <w:r w:rsidR="00065D64">
        <w:rPr>
          <w:rStyle w:val="apple-converted-space"/>
          <w:rFonts w:ascii="Tahoma" w:hAnsi="Tahoma" w:cs="Tahoma"/>
          <w:bCs/>
          <w:color w:val="000000"/>
          <w:sz w:val="24"/>
          <w:szCs w:val="24"/>
        </w:rPr>
        <w:lastRenderedPageBreak/>
        <w:t xml:space="preserve">‘propensity’ limbs. </w:t>
      </w:r>
      <w:proofErr w:type="spellStart"/>
      <w:r w:rsidR="00065D64" w:rsidRPr="00065D64">
        <w:rPr>
          <w:rStyle w:val="apple-converted-space"/>
          <w:rFonts w:ascii="Tahoma" w:hAnsi="Tahoma" w:cs="Tahoma"/>
          <w:b/>
          <w:bCs/>
          <w:color w:val="000000"/>
          <w:sz w:val="24"/>
          <w:szCs w:val="24"/>
        </w:rPr>
        <w:t>Vye</w:t>
      </w:r>
      <w:proofErr w:type="spellEnd"/>
      <w:r w:rsidR="00065D64" w:rsidRPr="00065D64">
        <w:rPr>
          <w:rStyle w:val="apple-converted-space"/>
          <w:rFonts w:ascii="Tahoma" w:hAnsi="Tahoma" w:cs="Tahoma"/>
          <w:b/>
          <w:bCs/>
          <w:color w:val="000000"/>
          <w:sz w:val="24"/>
          <w:szCs w:val="24"/>
        </w:rPr>
        <w:t xml:space="preserve"> </w:t>
      </w:r>
      <w:r w:rsidR="00065D64">
        <w:rPr>
          <w:rStyle w:val="apple-converted-space"/>
          <w:rFonts w:ascii="Tahoma" w:hAnsi="Tahoma" w:cs="Tahoma"/>
          <w:bCs/>
          <w:color w:val="000000"/>
          <w:sz w:val="24"/>
          <w:szCs w:val="24"/>
        </w:rPr>
        <w:t xml:space="preserve">was subsequently approved and applied by the House of Lords in </w:t>
      </w:r>
      <w:r w:rsidR="00065D64" w:rsidRPr="00065D64">
        <w:rPr>
          <w:rStyle w:val="apple-converted-space"/>
          <w:rFonts w:ascii="Tahoma" w:hAnsi="Tahoma" w:cs="Tahoma"/>
          <w:b/>
          <w:bCs/>
          <w:color w:val="000000"/>
          <w:sz w:val="24"/>
          <w:szCs w:val="24"/>
        </w:rPr>
        <w:t>R v Aziz</w:t>
      </w:r>
      <w:r w:rsidR="00065D64">
        <w:rPr>
          <w:rStyle w:val="FootnoteReference"/>
          <w:rFonts w:ascii="Tahoma" w:hAnsi="Tahoma" w:cs="Tahoma"/>
          <w:bCs/>
          <w:color w:val="000000"/>
          <w:sz w:val="24"/>
          <w:szCs w:val="24"/>
        </w:rPr>
        <w:footnoteReference w:id="44"/>
      </w:r>
      <w:r w:rsidR="00065D64" w:rsidRPr="001E4532">
        <w:rPr>
          <w:rStyle w:val="apple-converted-space"/>
          <w:rFonts w:ascii="Tahoma" w:hAnsi="Tahoma" w:cs="Tahoma"/>
          <w:bCs/>
          <w:color w:val="000000"/>
          <w:sz w:val="24"/>
          <w:szCs w:val="24"/>
        </w:rPr>
        <w:t xml:space="preserve">, where Lord </w:t>
      </w:r>
      <w:proofErr w:type="spellStart"/>
      <w:r w:rsidR="00065D64" w:rsidRPr="001E4532">
        <w:rPr>
          <w:rStyle w:val="apple-converted-space"/>
          <w:rFonts w:ascii="Tahoma" w:hAnsi="Tahoma" w:cs="Tahoma"/>
          <w:bCs/>
          <w:color w:val="000000"/>
          <w:sz w:val="24"/>
          <w:szCs w:val="24"/>
        </w:rPr>
        <w:t>Steyn</w:t>
      </w:r>
      <w:proofErr w:type="spellEnd"/>
      <w:r w:rsidR="006D5F26">
        <w:rPr>
          <w:rStyle w:val="apple-converted-space"/>
          <w:rFonts w:ascii="Tahoma" w:hAnsi="Tahoma" w:cs="Tahoma"/>
          <w:bCs/>
          <w:color w:val="000000"/>
          <w:sz w:val="24"/>
          <w:szCs w:val="24"/>
        </w:rPr>
        <w:t xml:space="preserve"> explained the rationale for requiring judges to give good character directions in this way</w:t>
      </w:r>
      <w:r w:rsidR="006D5F26">
        <w:rPr>
          <w:rStyle w:val="FootnoteReference"/>
          <w:rFonts w:ascii="Tahoma" w:hAnsi="Tahoma" w:cs="Tahoma"/>
          <w:bCs/>
          <w:color w:val="000000"/>
          <w:sz w:val="24"/>
          <w:szCs w:val="24"/>
        </w:rPr>
        <w:footnoteReference w:id="45"/>
      </w:r>
      <w:r w:rsidR="006D5F26">
        <w:rPr>
          <w:rStyle w:val="apple-converted-space"/>
          <w:rFonts w:ascii="Tahoma" w:hAnsi="Tahoma" w:cs="Tahoma"/>
          <w:bCs/>
          <w:color w:val="000000"/>
          <w:sz w:val="24"/>
          <w:szCs w:val="24"/>
        </w:rPr>
        <w:t>:</w:t>
      </w:r>
    </w:p>
    <w:p w:rsidR="006D5F26" w:rsidRDefault="006D5F26" w:rsidP="006D5F26">
      <w:pPr>
        <w:autoSpaceDE w:val="0"/>
        <w:autoSpaceDN w:val="0"/>
        <w:adjustRightInd w:val="0"/>
        <w:spacing w:after="0" w:line="240" w:lineRule="auto"/>
        <w:ind w:left="1440" w:right="1440"/>
        <w:jc w:val="both"/>
        <w:rPr>
          <w:rFonts w:ascii="Tahoma" w:hAnsi="Tahoma" w:cs="Tahoma"/>
          <w:sz w:val="24"/>
          <w:szCs w:val="24"/>
        </w:rPr>
      </w:pPr>
      <w:r w:rsidRPr="006D5F26">
        <w:rPr>
          <w:rFonts w:ascii="Tahoma" w:hAnsi="Tahoma" w:cs="Tahoma"/>
          <w:sz w:val="24"/>
          <w:szCs w:val="24"/>
        </w:rPr>
        <w:t xml:space="preserve">“The question might nevertheless be posed: why should a judge </w:t>
      </w:r>
      <w:proofErr w:type="gramStart"/>
      <w:r w:rsidRPr="006D5F26">
        <w:rPr>
          <w:rFonts w:ascii="Tahoma" w:hAnsi="Tahoma" w:cs="Tahoma"/>
          <w:sz w:val="24"/>
          <w:szCs w:val="24"/>
        </w:rPr>
        <w:t>be</w:t>
      </w:r>
      <w:proofErr w:type="gramEnd"/>
      <w:r w:rsidRPr="006D5F26">
        <w:rPr>
          <w:rFonts w:ascii="Tahoma" w:hAnsi="Tahoma" w:cs="Tahoma"/>
          <w:sz w:val="24"/>
          <w:szCs w:val="24"/>
        </w:rPr>
        <w:t xml:space="preserve"> obliged to give directions on good character? The answer is that in modern practice a judge almost invariably reminds the jury of the principal points of the prosecution case. At the same time he must put the </w:t>
      </w:r>
      <w:proofErr w:type="spellStart"/>
      <w:r w:rsidRPr="006D5F26">
        <w:rPr>
          <w:rFonts w:ascii="Tahoma" w:hAnsi="Tahoma" w:cs="Tahoma"/>
          <w:sz w:val="24"/>
          <w:szCs w:val="24"/>
        </w:rPr>
        <w:t>defence</w:t>
      </w:r>
      <w:proofErr w:type="spellEnd"/>
      <w:r w:rsidRPr="006D5F26">
        <w:rPr>
          <w:rFonts w:ascii="Tahoma" w:hAnsi="Tahoma" w:cs="Tahoma"/>
          <w:sz w:val="24"/>
          <w:szCs w:val="24"/>
        </w:rPr>
        <w:t xml:space="preserve"> case before the jury in a fair and balanced way. Fairness requires that the judge should direct the jury about good character because it is evidence of probative significance</w:t>
      </w:r>
      <w:r>
        <w:rPr>
          <w:rFonts w:ascii="Tahoma" w:hAnsi="Tahoma" w:cs="Tahoma"/>
          <w:sz w:val="24"/>
          <w:szCs w:val="24"/>
        </w:rPr>
        <w:t>.”</w:t>
      </w:r>
    </w:p>
    <w:p w:rsidR="006D5F26" w:rsidRDefault="006D5F26" w:rsidP="006D5F26">
      <w:pPr>
        <w:autoSpaceDE w:val="0"/>
        <w:autoSpaceDN w:val="0"/>
        <w:adjustRightInd w:val="0"/>
        <w:spacing w:after="0" w:line="240" w:lineRule="auto"/>
        <w:ind w:right="1440"/>
        <w:jc w:val="both"/>
        <w:rPr>
          <w:rFonts w:ascii="Tahoma" w:hAnsi="Tahoma" w:cs="Tahoma"/>
          <w:sz w:val="24"/>
          <w:szCs w:val="24"/>
        </w:rPr>
      </w:pPr>
    </w:p>
    <w:p w:rsidR="006D5F26" w:rsidRDefault="006D5F26" w:rsidP="006D5F26">
      <w:pPr>
        <w:autoSpaceDE w:val="0"/>
        <w:autoSpaceDN w:val="0"/>
        <w:adjustRightInd w:val="0"/>
        <w:spacing w:after="0" w:line="480" w:lineRule="auto"/>
        <w:jc w:val="both"/>
        <w:rPr>
          <w:rFonts w:ascii="Tahoma" w:hAnsi="Tahoma" w:cs="Tahoma"/>
          <w:sz w:val="24"/>
          <w:szCs w:val="24"/>
        </w:rPr>
      </w:pPr>
      <w:r>
        <w:rPr>
          <w:rFonts w:ascii="Tahoma" w:hAnsi="Tahoma" w:cs="Tahoma"/>
          <w:sz w:val="24"/>
          <w:szCs w:val="24"/>
        </w:rPr>
        <w:t>2</w:t>
      </w:r>
      <w:r w:rsidR="00F76A0B">
        <w:rPr>
          <w:rFonts w:ascii="Tahoma" w:hAnsi="Tahoma" w:cs="Tahoma"/>
          <w:sz w:val="24"/>
          <w:szCs w:val="24"/>
        </w:rPr>
        <w:t>9</w:t>
      </w:r>
      <w:r>
        <w:rPr>
          <w:rFonts w:ascii="Tahoma" w:hAnsi="Tahoma" w:cs="Tahoma"/>
          <w:sz w:val="24"/>
          <w:szCs w:val="24"/>
        </w:rPr>
        <w:t xml:space="preserve">.   The requirement of good character directions in appropriate cases is thus put squarely in terms of the fair trial guarantee which, in our part of the world at any rate, is a matter of constitutional significance. Perhaps </w:t>
      </w:r>
      <w:r w:rsidR="00C167A6">
        <w:rPr>
          <w:rFonts w:ascii="Tahoma" w:hAnsi="Tahoma" w:cs="Tahoma"/>
          <w:sz w:val="24"/>
          <w:szCs w:val="24"/>
        </w:rPr>
        <w:t xml:space="preserve">to some extent </w:t>
      </w:r>
      <w:r>
        <w:rPr>
          <w:rFonts w:ascii="Tahoma" w:hAnsi="Tahoma" w:cs="Tahoma"/>
          <w:sz w:val="24"/>
          <w:szCs w:val="24"/>
        </w:rPr>
        <w:t>because of this, it has spawned a great number of cases in which the complaint on appeal was that the trial judge</w:t>
      </w:r>
      <w:r w:rsidR="002041B0">
        <w:rPr>
          <w:rFonts w:ascii="Tahoma" w:hAnsi="Tahoma" w:cs="Tahoma"/>
          <w:sz w:val="24"/>
          <w:szCs w:val="24"/>
        </w:rPr>
        <w:t xml:space="preserve"> had failed to give the requisite warning or counsel for the </w:t>
      </w:r>
      <w:proofErr w:type="spellStart"/>
      <w:r w:rsidR="002041B0">
        <w:rPr>
          <w:rFonts w:ascii="Tahoma" w:hAnsi="Tahoma" w:cs="Tahoma"/>
          <w:sz w:val="24"/>
          <w:szCs w:val="24"/>
        </w:rPr>
        <w:t>defence</w:t>
      </w:r>
      <w:proofErr w:type="spellEnd"/>
      <w:r w:rsidR="002041B0">
        <w:rPr>
          <w:rFonts w:ascii="Tahoma" w:hAnsi="Tahoma" w:cs="Tahoma"/>
          <w:sz w:val="24"/>
          <w:szCs w:val="24"/>
        </w:rPr>
        <w:t xml:space="preserve"> did not, as the authorities all require him or her to do, put the defendant’s character in issue.</w:t>
      </w:r>
      <w:r w:rsidR="004B7BD0">
        <w:rPr>
          <w:rFonts w:ascii="Tahoma" w:hAnsi="Tahoma" w:cs="Tahoma"/>
          <w:sz w:val="24"/>
          <w:szCs w:val="24"/>
        </w:rPr>
        <w:t xml:space="preserve"> Among the </w:t>
      </w:r>
      <w:r w:rsidR="003018C4">
        <w:rPr>
          <w:rFonts w:ascii="Tahoma" w:hAnsi="Tahoma" w:cs="Tahoma"/>
          <w:sz w:val="24"/>
          <w:szCs w:val="24"/>
        </w:rPr>
        <w:t xml:space="preserve">best known </w:t>
      </w:r>
      <w:r w:rsidR="004B7BD0">
        <w:rPr>
          <w:rFonts w:ascii="Tahoma" w:hAnsi="Tahoma" w:cs="Tahoma"/>
          <w:sz w:val="24"/>
          <w:szCs w:val="24"/>
        </w:rPr>
        <w:t xml:space="preserve">of the leading cases emanating from the region on the subject </w:t>
      </w:r>
      <w:r w:rsidR="00C13DB6">
        <w:rPr>
          <w:rFonts w:ascii="Tahoma" w:hAnsi="Tahoma" w:cs="Tahoma"/>
          <w:sz w:val="24"/>
          <w:szCs w:val="24"/>
        </w:rPr>
        <w:t>i</w:t>
      </w:r>
      <w:r w:rsidR="004B7BD0">
        <w:rPr>
          <w:rFonts w:ascii="Tahoma" w:hAnsi="Tahoma" w:cs="Tahoma"/>
          <w:sz w:val="24"/>
          <w:szCs w:val="24"/>
        </w:rPr>
        <w:t xml:space="preserve">s </w:t>
      </w:r>
      <w:proofErr w:type="spellStart"/>
      <w:r w:rsidR="004B7BD0" w:rsidRPr="004B7BD0">
        <w:rPr>
          <w:rFonts w:ascii="Tahoma" w:hAnsi="Tahoma" w:cs="Tahoma"/>
          <w:b/>
          <w:sz w:val="24"/>
          <w:szCs w:val="24"/>
        </w:rPr>
        <w:t>Teeluck</w:t>
      </w:r>
      <w:proofErr w:type="spellEnd"/>
      <w:r w:rsidR="004B7BD0" w:rsidRPr="004B7BD0">
        <w:rPr>
          <w:rFonts w:ascii="Tahoma" w:hAnsi="Tahoma" w:cs="Tahoma"/>
          <w:b/>
          <w:sz w:val="24"/>
          <w:szCs w:val="24"/>
        </w:rPr>
        <w:t xml:space="preserve"> and another v The State of Trinidad &amp; Tobago</w:t>
      </w:r>
      <w:r w:rsidR="004B7BD0" w:rsidRPr="004B7BD0">
        <w:rPr>
          <w:rStyle w:val="FootnoteReference"/>
          <w:rFonts w:ascii="Tahoma" w:hAnsi="Tahoma" w:cs="Tahoma"/>
          <w:sz w:val="24"/>
          <w:szCs w:val="24"/>
        </w:rPr>
        <w:footnoteReference w:id="46"/>
      </w:r>
      <w:r w:rsidR="004B7BD0" w:rsidRPr="00AF78AA">
        <w:rPr>
          <w:rFonts w:ascii="Tahoma" w:hAnsi="Tahoma" w:cs="Tahoma"/>
          <w:sz w:val="24"/>
          <w:szCs w:val="24"/>
        </w:rPr>
        <w:t xml:space="preserve">, in which Lord </w:t>
      </w:r>
      <w:proofErr w:type="spellStart"/>
      <w:r w:rsidR="004B7BD0" w:rsidRPr="00AF78AA">
        <w:rPr>
          <w:rFonts w:ascii="Tahoma" w:hAnsi="Tahoma" w:cs="Tahoma"/>
          <w:sz w:val="24"/>
          <w:szCs w:val="24"/>
        </w:rPr>
        <w:t>Carswell</w:t>
      </w:r>
      <w:proofErr w:type="spellEnd"/>
      <w:r w:rsidR="004B7BD0" w:rsidRPr="00AF78AA">
        <w:rPr>
          <w:rFonts w:ascii="Tahoma" w:hAnsi="Tahoma" w:cs="Tahoma"/>
          <w:sz w:val="24"/>
          <w:szCs w:val="24"/>
        </w:rPr>
        <w:t xml:space="preserve"> </w:t>
      </w:r>
      <w:proofErr w:type="spellStart"/>
      <w:r w:rsidR="004B7BD0" w:rsidRPr="00AF78AA">
        <w:rPr>
          <w:rFonts w:ascii="Tahoma" w:hAnsi="Tahoma" w:cs="Tahoma"/>
          <w:sz w:val="24"/>
          <w:szCs w:val="24"/>
        </w:rPr>
        <w:t>summarised</w:t>
      </w:r>
      <w:proofErr w:type="spellEnd"/>
      <w:r w:rsidR="004B7BD0" w:rsidRPr="00AF78AA">
        <w:rPr>
          <w:rFonts w:ascii="Tahoma" w:hAnsi="Tahoma" w:cs="Tahoma"/>
          <w:sz w:val="24"/>
          <w:szCs w:val="24"/>
        </w:rPr>
        <w:t xml:space="preserve"> the principles in this way</w:t>
      </w:r>
      <w:r w:rsidR="00AF78AA" w:rsidRPr="00AF78AA">
        <w:rPr>
          <w:rStyle w:val="FootnoteReference"/>
          <w:rFonts w:ascii="Tahoma" w:hAnsi="Tahoma" w:cs="Tahoma"/>
          <w:sz w:val="24"/>
          <w:szCs w:val="24"/>
        </w:rPr>
        <w:footnoteReference w:id="47"/>
      </w:r>
      <w:r w:rsidR="00AF78AA">
        <w:rPr>
          <w:rFonts w:ascii="Tahoma" w:hAnsi="Tahoma" w:cs="Tahoma"/>
          <w:sz w:val="24"/>
          <w:szCs w:val="24"/>
        </w:rPr>
        <w:t>:</w:t>
      </w:r>
    </w:p>
    <w:p w:rsidR="00AF78AA" w:rsidRPr="00AF78AA" w:rsidRDefault="00AF78AA" w:rsidP="00AF78AA">
      <w:pPr>
        <w:spacing w:before="100" w:beforeAutospacing="1" w:after="100" w:afterAutospacing="1" w:line="240" w:lineRule="auto"/>
        <w:ind w:left="1440" w:right="1440"/>
        <w:jc w:val="both"/>
        <w:rPr>
          <w:rFonts w:ascii="Tahoma" w:hAnsi="Tahoma" w:cs="Tahoma"/>
          <w:color w:val="000000"/>
          <w:sz w:val="24"/>
          <w:szCs w:val="24"/>
        </w:rPr>
      </w:pPr>
      <w:bookmarkStart w:id="14" w:name="para33"/>
      <w:r w:rsidRPr="00AF78AA">
        <w:rPr>
          <w:rFonts w:ascii="Tahoma" w:hAnsi="Tahoma" w:cs="Tahoma"/>
          <w:color w:val="000000"/>
          <w:sz w:val="24"/>
          <w:szCs w:val="24"/>
        </w:rPr>
        <w:t xml:space="preserve">“The principles to be applied regarding good character directions have been much more clearly settled by a number of decisions in recent years, and what might have been properly regarded at one time as a question of discretion for the trial judge has </w:t>
      </w:r>
      <w:proofErr w:type="spellStart"/>
      <w:r w:rsidRPr="00AF78AA">
        <w:rPr>
          <w:rFonts w:ascii="Tahoma" w:hAnsi="Tahoma" w:cs="Tahoma"/>
          <w:color w:val="000000"/>
          <w:sz w:val="24"/>
          <w:szCs w:val="24"/>
        </w:rPr>
        <w:t>crystallised</w:t>
      </w:r>
      <w:proofErr w:type="spellEnd"/>
      <w:r w:rsidRPr="00AF78AA">
        <w:rPr>
          <w:rFonts w:ascii="Tahoma" w:hAnsi="Tahoma" w:cs="Tahoma"/>
          <w:color w:val="000000"/>
          <w:sz w:val="24"/>
          <w:szCs w:val="24"/>
        </w:rPr>
        <w:t xml:space="preserve"> into an obligation as a matter </w:t>
      </w:r>
      <w:r w:rsidRPr="00AF78AA">
        <w:rPr>
          <w:rFonts w:ascii="Tahoma" w:hAnsi="Tahoma" w:cs="Tahoma"/>
          <w:color w:val="000000"/>
          <w:sz w:val="24"/>
          <w:szCs w:val="24"/>
        </w:rPr>
        <w:lastRenderedPageBreak/>
        <w:t>of law. There is already quite a substantial body of case-law on the various aspects of the application of the principles, not all of which is relevant to the present appeals. Their Lordships consider that the principles which are material to the issues now before them can conveniently be encapsulated in the following series of propositions:</w:t>
      </w:r>
      <w:bookmarkEnd w:id="14"/>
    </w:p>
    <w:p w:rsidR="00AF78AA" w:rsidRPr="00AF78AA" w:rsidRDefault="00AF78AA" w:rsidP="00AF78AA">
      <w:pPr>
        <w:ind w:left="1440" w:right="1440"/>
        <w:jc w:val="both"/>
        <w:rPr>
          <w:rFonts w:ascii="Tahoma" w:hAnsi="Tahoma" w:cs="Tahoma"/>
          <w:color w:val="000000"/>
          <w:sz w:val="24"/>
          <w:szCs w:val="24"/>
        </w:rPr>
      </w:pPr>
      <w:r w:rsidRPr="00AF78AA">
        <w:rPr>
          <w:rFonts w:ascii="Tahoma" w:hAnsi="Tahoma" w:cs="Tahoma"/>
          <w:color w:val="000000"/>
          <w:sz w:val="24"/>
          <w:szCs w:val="24"/>
        </w:rPr>
        <w:t>(</w:t>
      </w:r>
      <w:proofErr w:type="spellStart"/>
      <w:r w:rsidRPr="00AF78AA">
        <w:rPr>
          <w:rFonts w:ascii="Tahoma" w:hAnsi="Tahoma" w:cs="Tahoma"/>
          <w:color w:val="000000"/>
          <w:sz w:val="24"/>
          <w:szCs w:val="24"/>
        </w:rPr>
        <w:t>i</w:t>
      </w:r>
      <w:proofErr w:type="spellEnd"/>
      <w:r w:rsidRPr="00AF78AA">
        <w:rPr>
          <w:rFonts w:ascii="Tahoma" w:hAnsi="Tahoma" w:cs="Tahoma"/>
          <w:color w:val="000000"/>
          <w:sz w:val="24"/>
          <w:szCs w:val="24"/>
        </w:rPr>
        <w:t xml:space="preserve">) When a defendant is of good character, </w:t>
      </w:r>
      <w:proofErr w:type="spellStart"/>
      <w:r w:rsidRPr="00AF78AA">
        <w:rPr>
          <w:rFonts w:ascii="Tahoma" w:hAnsi="Tahoma" w:cs="Tahoma"/>
          <w:color w:val="000000"/>
          <w:sz w:val="24"/>
          <w:szCs w:val="24"/>
        </w:rPr>
        <w:t>ie</w:t>
      </w:r>
      <w:proofErr w:type="spellEnd"/>
      <w:r w:rsidRPr="00AF78AA">
        <w:rPr>
          <w:rFonts w:ascii="Tahoma" w:hAnsi="Tahoma" w:cs="Tahoma"/>
          <w:color w:val="000000"/>
          <w:sz w:val="24"/>
          <w:szCs w:val="24"/>
        </w:rPr>
        <w:t xml:space="preserve"> has no convictions of any relevance or significance, he is entitled to the benefit of a good character direction from the judge when summing up to the jury, tailored to fit the circumstances of the case:</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Thompson v The Queen</w:t>
      </w:r>
      <w:r w:rsidRPr="00AF78AA">
        <w:rPr>
          <w:rStyle w:val="apple-converted-space"/>
          <w:rFonts w:ascii="Tahoma" w:hAnsi="Tahoma" w:cs="Tahoma"/>
          <w:i/>
          <w:iCs/>
          <w:color w:val="000000"/>
          <w:sz w:val="24"/>
          <w:szCs w:val="24"/>
        </w:rPr>
        <w:t> </w:t>
      </w:r>
      <w:hyperlink r:id="rId9" w:tooltip="Link to BAILII version" w:history="1">
        <w:r w:rsidRPr="00BD2B13">
          <w:rPr>
            <w:rStyle w:val="Hyperlink"/>
            <w:rFonts w:ascii="Tahoma" w:hAnsi="Tahoma" w:cs="Tahoma"/>
            <w:color w:val="auto"/>
            <w:sz w:val="24"/>
            <w:szCs w:val="24"/>
          </w:rPr>
          <w:t>[1998] AC 811</w:t>
        </w:r>
      </w:hyperlink>
      <w:r w:rsidRPr="00AF78AA">
        <w:rPr>
          <w:rFonts w:ascii="Tahoma" w:hAnsi="Tahoma" w:cs="Tahoma"/>
          <w:color w:val="000000"/>
          <w:sz w:val="24"/>
          <w:szCs w:val="24"/>
        </w:rPr>
        <w:t>, following</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R v Aziz</w:t>
      </w:r>
      <w:r w:rsidRPr="00AF78AA">
        <w:rPr>
          <w:rStyle w:val="apple-converted-space"/>
          <w:rFonts w:ascii="Tahoma" w:hAnsi="Tahoma" w:cs="Tahoma"/>
          <w:i/>
          <w:iCs/>
          <w:color w:val="000000"/>
          <w:sz w:val="24"/>
          <w:szCs w:val="24"/>
        </w:rPr>
        <w:t> </w:t>
      </w:r>
      <w:r w:rsidRPr="00AF78AA">
        <w:rPr>
          <w:rFonts w:ascii="Tahoma" w:hAnsi="Tahoma" w:cs="Tahoma"/>
          <w:color w:val="000000"/>
          <w:sz w:val="24"/>
          <w:szCs w:val="24"/>
        </w:rPr>
        <w:t>[1996] AC 41 and</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 xml:space="preserve">R v </w:t>
      </w:r>
      <w:proofErr w:type="spellStart"/>
      <w:r w:rsidRPr="00AF78AA">
        <w:rPr>
          <w:rFonts w:ascii="Tahoma" w:hAnsi="Tahoma" w:cs="Tahoma"/>
          <w:i/>
          <w:iCs/>
          <w:color w:val="000000"/>
          <w:sz w:val="24"/>
          <w:szCs w:val="24"/>
        </w:rPr>
        <w:t>Vye</w:t>
      </w:r>
      <w:proofErr w:type="spellEnd"/>
      <w:r w:rsidRPr="00AF78AA">
        <w:rPr>
          <w:rStyle w:val="apple-converted-space"/>
          <w:rFonts w:ascii="Tahoma" w:hAnsi="Tahoma" w:cs="Tahoma"/>
          <w:i/>
          <w:iCs/>
          <w:color w:val="000000"/>
          <w:sz w:val="24"/>
          <w:szCs w:val="24"/>
        </w:rPr>
        <w:t> </w:t>
      </w:r>
      <w:r w:rsidRPr="00AF78AA">
        <w:rPr>
          <w:rFonts w:ascii="Tahoma" w:hAnsi="Tahoma" w:cs="Tahoma"/>
          <w:color w:val="000000"/>
          <w:sz w:val="24"/>
          <w:szCs w:val="24"/>
        </w:rPr>
        <w:t>[1993] 1 WLR 471.</w:t>
      </w:r>
    </w:p>
    <w:p w:rsidR="00AF78AA" w:rsidRPr="00AF78AA" w:rsidRDefault="00AF78AA" w:rsidP="00AF78AA">
      <w:pPr>
        <w:ind w:left="1440" w:right="1440"/>
        <w:jc w:val="both"/>
        <w:rPr>
          <w:rFonts w:ascii="Tahoma" w:hAnsi="Tahoma" w:cs="Tahoma"/>
          <w:color w:val="000000"/>
          <w:sz w:val="24"/>
          <w:szCs w:val="24"/>
        </w:rPr>
      </w:pPr>
      <w:r w:rsidRPr="00AF78AA">
        <w:rPr>
          <w:rFonts w:ascii="Tahoma" w:hAnsi="Tahoma" w:cs="Tahoma"/>
          <w:color w:val="000000"/>
          <w:sz w:val="24"/>
          <w:szCs w:val="24"/>
        </w:rPr>
        <w:t>(ii) The direction should be given as a matter of course, not of discretion. It will have some value and will therefore be capable of having some effect in every case in which it is appropriate for such a direction to be given:</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R v Fulcher</w:t>
      </w:r>
      <w:r w:rsidRPr="00AF78AA">
        <w:rPr>
          <w:rStyle w:val="apple-converted-space"/>
          <w:rFonts w:ascii="Tahoma" w:hAnsi="Tahoma" w:cs="Tahoma"/>
          <w:i/>
          <w:iCs/>
          <w:color w:val="000000"/>
          <w:sz w:val="24"/>
          <w:szCs w:val="24"/>
        </w:rPr>
        <w:t> </w:t>
      </w:r>
      <w:r w:rsidRPr="00AF78AA">
        <w:rPr>
          <w:rFonts w:ascii="Tahoma" w:hAnsi="Tahoma" w:cs="Tahoma"/>
          <w:color w:val="000000"/>
          <w:sz w:val="24"/>
          <w:szCs w:val="24"/>
        </w:rPr>
        <w:t>[1995] 2 Cr App R 251, 260. If it is omitted in such a case it will rarely be possible for an appellate court to say that the giving of a good character direction could not have affected the outcome of the trial:</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 xml:space="preserve">R v </w:t>
      </w:r>
      <w:proofErr w:type="spellStart"/>
      <w:r w:rsidRPr="00AF78AA">
        <w:rPr>
          <w:rFonts w:ascii="Tahoma" w:hAnsi="Tahoma" w:cs="Tahoma"/>
          <w:i/>
          <w:iCs/>
          <w:color w:val="000000"/>
          <w:sz w:val="24"/>
          <w:szCs w:val="24"/>
        </w:rPr>
        <w:t>Kamar</w:t>
      </w:r>
      <w:proofErr w:type="spellEnd"/>
      <w:r w:rsidRPr="00AF78AA">
        <w:rPr>
          <w:rStyle w:val="apple-converted-space"/>
          <w:rFonts w:ascii="Tahoma" w:hAnsi="Tahoma" w:cs="Tahoma"/>
          <w:i/>
          <w:iCs/>
          <w:color w:val="000000"/>
          <w:sz w:val="24"/>
          <w:szCs w:val="24"/>
        </w:rPr>
        <w:t> </w:t>
      </w:r>
      <w:r w:rsidRPr="00AF78AA">
        <w:rPr>
          <w:rFonts w:ascii="Tahoma" w:hAnsi="Tahoma" w:cs="Tahoma"/>
          <w:color w:val="000000"/>
          <w:sz w:val="24"/>
          <w:szCs w:val="24"/>
        </w:rPr>
        <w:t>The Times, 14 May 1999.</w:t>
      </w:r>
    </w:p>
    <w:p w:rsidR="00AF78AA" w:rsidRPr="00AF78AA" w:rsidRDefault="00AF78AA" w:rsidP="00AF78AA">
      <w:pPr>
        <w:ind w:left="1440" w:right="1440"/>
        <w:jc w:val="both"/>
        <w:rPr>
          <w:rFonts w:ascii="Tahoma" w:hAnsi="Tahoma" w:cs="Tahoma"/>
          <w:color w:val="000000"/>
          <w:sz w:val="24"/>
          <w:szCs w:val="24"/>
        </w:rPr>
      </w:pPr>
      <w:r w:rsidRPr="00AF78AA">
        <w:rPr>
          <w:rFonts w:ascii="Tahoma" w:hAnsi="Tahoma" w:cs="Tahoma"/>
          <w:color w:val="000000"/>
          <w:sz w:val="24"/>
          <w:szCs w:val="24"/>
        </w:rPr>
        <w:t>(iii) The standard direction should contain two limbs, the credibility direction, that a person of good character is more likely to be truthful than one of bad character, and the propensity direction, that he is less likely to commit a crime, especially one of the nature with which he is charged.</w:t>
      </w:r>
    </w:p>
    <w:p w:rsidR="00AF78AA" w:rsidRPr="00AF78AA" w:rsidRDefault="00AF78AA" w:rsidP="00AF78AA">
      <w:pPr>
        <w:ind w:left="1440" w:right="1440"/>
        <w:jc w:val="both"/>
        <w:rPr>
          <w:rFonts w:ascii="Tahoma" w:hAnsi="Tahoma" w:cs="Tahoma"/>
          <w:color w:val="000000"/>
          <w:sz w:val="24"/>
          <w:szCs w:val="24"/>
        </w:rPr>
      </w:pPr>
      <w:r w:rsidRPr="00AF78AA">
        <w:rPr>
          <w:rFonts w:ascii="Tahoma" w:hAnsi="Tahoma" w:cs="Tahoma"/>
          <w:color w:val="000000"/>
          <w:sz w:val="24"/>
          <w:szCs w:val="24"/>
        </w:rPr>
        <w:t>(iv) Where credibility is in issue, a good character direction is always relevant:</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Berry v The Queen</w:t>
      </w:r>
      <w:r w:rsidRPr="00AF78AA">
        <w:rPr>
          <w:rStyle w:val="apple-converted-space"/>
          <w:rFonts w:ascii="Tahoma" w:hAnsi="Tahoma" w:cs="Tahoma"/>
          <w:i/>
          <w:iCs/>
          <w:color w:val="000000"/>
          <w:sz w:val="24"/>
          <w:szCs w:val="24"/>
        </w:rPr>
        <w:t> </w:t>
      </w:r>
      <w:r w:rsidRPr="00AF78AA">
        <w:rPr>
          <w:rFonts w:ascii="Tahoma" w:hAnsi="Tahoma" w:cs="Tahoma"/>
          <w:color w:val="000000"/>
          <w:sz w:val="24"/>
          <w:szCs w:val="24"/>
        </w:rPr>
        <w:t>[1992] 2 AC 364, 381;</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Barrow v The State</w:t>
      </w:r>
      <w:r w:rsidRPr="00AF78AA">
        <w:rPr>
          <w:rStyle w:val="apple-converted-space"/>
          <w:rFonts w:ascii="Tahoma" w:hAnsi="Tahoma" w:cs="Tahoma"/>
          <w:i/>
          <w:iCs/>
          <w:color w:val="000000"/>
          <w:sz w:val="24"/>
          <w:szCs w:val="24"/>
        </w:rPr>
        <w:t> </w:t>
      </w:r>
      <w:hyperlink r:id="rId10" w:tooltip="Link to BAILII version" w:history="1">
        <w:r w:rsidRPr="00BD2B13">
          <w:rPr>
            <w:rStyle w:val="Hyperlink"/>
            <w:rFonts w:ascii="Tahoma" w:hAnsi="Tahoma" w:cs="Tahoma"/>
            <w:color w:val="auto"/>
            <w:sz w:val="24"/>
            <w:szCs w:val="24"/>
          </w:rPr>
          <w:t>[1998] AC 846</w:t>
        </w:r>
      </w:hyperlink>
      <w:r w:rsidRPr="00AF78AA">
        <w:rPr>
          <w:rFonts w:ascii="Tahoma" w:hAnsi="Tahoma" w:cs="Tahoma"/>
          <w:color w:val="000000"/>
          <w:sz w:val="24"/>
          <w:szCs w:val="24"/>
        </w:rPr>
        <w:t>, 850;</w:t>
      </w:r>
      <w:r w:rsidRPr="00AF78AA">
        <w:rPr>
          <w:rStyle w:val="apple-converted-space"/>
          <w:rFonts w:ascii="Tahoma" w:hAnsi="Tahoma" w:cs="Tahoma"/>
          <w:color w:val="000000"/>
          <w:sz w:val="24"/>
          <w:szCs w:val="24"/>
        </w:rPr>
        <w:t> </w:t>
      </w:r>
      <w:proofErr w:type="spellStart"/>
      <w:r w:rsidRPr="00AF78AA">
        <w:rPr>
          <w:rFonts w:ascii="Tahoma" w:hAnsi="Tahoma" w:cs="Tahoma"/>
          <w:i/>
          <w:iCs/>
          <w:color w:val="000000"/>
          <w:sz w:val="24"/>
          <w:szCs w:val="24"/>
        </w:rPr>
        <w:t>Sealey</w:t>
      </w:r>
      <w:proofErr w:type="spellEnd"/>
      <w:r w:rsidRPr="00AF78AA">
        <w:rPr>
          <w:rFonts w:ascii="Tahoma" w:hAnsi="Tahoma" w:cs="Tahoma"/>
          <w:i/>
          <w:iCs/>
          <w:color w:val="000000"/>
          <w:sz w:val="24"/>
          <w:szCs w:val="24"/>
        </w:rPr>
        <w:t xml:space="preserve"> and Headley v The State</w:t>
      </w:r>
      <w:r w:rsidRPr="00AF78AA">
        <w:rPr>
          <w:rStyle w:val="apple-converted-space"/>
          <w:rFonts w:ascii="Tahoma" w:hAnsi="Tahoma" w:cs="Tahoma"/>
          <w:i/>
          <w:iCs/>
          <w:color w:val="000000"/>
          <w:sz w:val="24"/>
          <w:szCs w:val="24"/>
        </w:rPr>
        <w:t> </w:t>
      </w:r>
      <w:hyperlink r:id="rId11" w:tooltip="Link to BAILII version" w:history="1">
        <w:r w:rsidRPr="00BD2B13">
          <w:rPr>
            <w:rStyle w:val="Hyperlink"/>
            <w:rFonts w:ascii="Tahoma" w:hAnsi="Tahoma" w:cs="Tahoma"/>
            <w:color w:val="auto"/>
            <w:sz w:val="24"/>
            <w:szCs w:val="24"/>
          </w:rPr>
          <w:t>[2002] UKPC 52</w:t>
        </w:r>
      </w:hyperlink>
      <w:r w:rsidRPr="00AF78AA">
        <w:rPr>
          <w:rFonts w:ascii="Tahoma" w:hAnsi="Tahoma" w:cs="Tahoma"/>
          <w:color w:val="000000"/>
          <w:sz w:val="24"/>
          <w:szCs w:val="24"/>
        </w:rPr>
        <w:t>, para 34.</w:t>
      </w:r>
    </w:p>
    <w:p w:rsidR="00AF78AA" w:rsidRDefault="00AF78AA" w:rsidP="00AF78AA">
      <w:pPr>
        <w:ind w:left="1440" w:right="1440"/>
        <w:jc w:val="both"/>
        <w:rPr>
          <w:rFonts w:ascii="Tahoma" w:hAnsi="Tahoma" w:cs="Tahoma"/>
          <w:iCs/>
          <w:color w:val="000000"/>
          <w:sz w:val="24"/>
          <w:szCs w:val="24"/>
        </w:rPr>
      </w:pPr>
      <w:r w:rsidRPr="00AF78AA">
        <w:rPr>
          <w:rFonts w:ascii="Tahoma" w:hAnsi="Tahoma" w:cs="Tahoma"/>
          <w:color w:val="000000"/>
          <w:sz w:val="24"/>
          <w:szCs w:val="24"/>
        </w:rPr>
        <w:t>(v) The defendant's good character must be distinctly raised, by direct evidence from him or given on his behalf or by eliciting it in cross-examination of prosecution witnesses:</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Barrow v The State</w:t>
      </w:r>
      <w:r w:rsidRPr="00AF78AA">
        <w:rPr>
          <w:rStyle w:val="apple-converted-space"/>
          <w:rFonts w:ascii="Tahoma" w:hAnsi="Tahoma" w:cs="Tahoma"/>
          <w:i/>
          <w:iCs/>
          <w:color w:val="000000"/>
          <w:sz w:val="24"/>
          <w:szCs w:val="24"/>
        </w:rPr>
        <w:t> </w:t>
      </w:r>
      <w:hyperlink r:id="rId12" w:tooltip="Link to BAILII version" w:history="1">
        <w:r w:rsidRPr="00BD2B13">
          <w:rPr>
            <w:rStyle w:val="Hyperlink"/>
            <w:rFonts w:ascii="Tahoma" w:hAnsi="Tahoma" w:cs="Tahoma"/>
            <w:color w:val="auto"/>
            <w:sz w:val="24"/>
            <w:szCs w:val="24"/>
          </w:rPr>
          <w:t>[1998] AC 846</w:t>
        </w:r>
      </w:hyperlink>
      <w:r w:rsidRPr="00AF78AA">
        <w:rPr>
          <w:rFonts w:ascii="Tahoma" w:hAnsi="Tahoma" w:cs="Tahoma"/>
          <w:color w:val="000000"/>
          <w:sz w:val="24"/>
          <w:szCs w:val="24"/>
        </w:rPr>
        <w:t>, 852, following</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Thompson v The Queen</w:t>
      </w:r>
      <w:r w:rsidRPr="00AF78AA">
        <w:rPr>
          <w:rStyle w:val="apple-converted-space"/>
          <w:rFonts w:ascii="Tahoma" w:hAnsi="Tahoma" w:cs="Tahoma"/>
          <w:i/>
          <w:iCs/>
          <w:color w:val="000000"/>
          <w:sz w:val="24"/>
          <w:szCs w:val="24"/>
        </w:rPr>
        <w:t> </w:t>
      </w:r>
      <w:hyperlink r:id="rId13" w:tooltip="Link to BAILII version" w:history="1">
        <w:r w:rsidRPr="00BD2B13">
          <w:rPr>
            <w:rStyle w:val="Hyperlink"/>
            <w:rFonts w:ascii="Tahoma" w:hAnsi="Tahoma" w:cs="Tahoma"/>
            <w:color w:val="auto"/>
            <w:sz w:val="24"/>
            <w:szCs w:val="24"/>
          </w:rPr>
          <w:t>[1998] AC 811</w:t>
        </w:r>
      </w:hyperlink>
      <w:r w:rsidRPr="00AF78AA">
        <w:rPr>
          <w:rFonts w:ascii="Tahoma" w:hAnsi="Tahoma" w:cs="Tahoma"/>
          <w:color w:val="000000"/>
          <w:sz w:val="24"/>
          <w:szCs w:val="24"/>
        </w:rPr>
        <w:t xml:space="preserve">, 844. It is a </w:t>
      </w:r>
      <w:r w:rsidRPr="00AF78AA">
        <w:rPr>
          <w:rFonts w:ascii="Tahoma" w:hAnsi="Tahoma" w:cs="Tahoma"/>
          <w:color w:val="000000"/>
          <w:sz w:val="24"/>
          <w:szCs w:val="24"/>
        </w:rPr>
        <w:lastRenderedPageBreak/>
        <w:t xml:space="preserve">necessary part of counsel's duty to his client to ensure that a good character direction is obtained where the defendant is entitled to it and likely to benefit from it. The duty of raising the issue is to be discharged by the </w:t>
      </w:r>
      <w:proofErr w:type="spellStart"/>
      <w:r w:rsidRPr="00AF78AA">
        <w:rPr>
          <w:rFonts w:ascii="Tahoma" w:hAnsi="Tahoma" w:cs="Tahoma"/>
          <w:color w:val="000000"/>
          <w:sz w:val="24"/>
          <w:szCs w:val="24"/>
        </w:rPr>
        <w:t>defence</w:t>
      </w:r>
      <w:proofErr w:type="spellEnd"/>
      <w:r w:rsidRPr="00AF78AA">
        <w:rPr>
          <w:rFonts w:ascii="Tahoma" w:hAnsi="Tahoma" w:cs="Tahoma"/>
          <w:color w:val="000000"/>
          <w:sz w:val="24"/>
          <w:szCs w:val="24"/>
        </w:rPr>
        <w:t xml:space="preserve">, not by the judge, and if it is not raised by the </w:t>
      </w:r>
      <w:proofErr w:type="spellStart"/>
      <w:r w:rsidRPr="00AF78AA">
        <w:rPr>
          <w:rFonts w:ascii="Tahoma" w:hAnsi="Tahoma" w:cs="Tahoma"/>
          <w:color w:val="000000"/>
          <w:sz w:val="24"/>
          <w:szCs w:val="24"/>
        </w:rPr>
        <w:t>defence</w:t>
      </w:r>
      <w:proofErr w:type="spellEnd"/>
      <w:r w:rsidRPr="00AF78AA">
        <w:rPr>
          <w:rFonts w:ascii="Tahoma" w:hAnsi="Tahoma" w:cs="Tahoma"/>
          <w:color w:val="000000"/>
          <w:sz w:val="24"/>
          <w:szCs w:val="24"/>
        </w:rPr>
        <w:t xml:space="preserve"> the judge is under no duty to raise it himself:</w:t>
      </w:r>
      <w:r w:rsidRPr="00AF78AA">
        <w:rPr>
          <w:rStyle w:val="apple-converted-space"/>
          <w:rFonts w:ascii="Tahoma" w:hAnsi="Tahoma" w:cs="Tahoma"/>
          <w:color w:val="000000"/>
          <w:sz w:val="24"/>
          <w:szCs w:val="24"/>
        </w:rPr>
        <w:t> </w:t>
      </w:r>
      <w:r w:rsidRPr="00AF78AA">
        <w:rPr>
          <w:rFonts w:ascii="Tahoma" w:hAnsi="Tahoma" w:cs="Tahoma"/>
          <w:i/>
          <w:iCs/>
          <w:color w:val="000000"/>
          <w:sz w:val="24"/>
          <w:szCs w:val="24"/>
        </w:rPr>
        <w:t>Thompson v The Queen, ibid</w:t>
      </w:r>
      <w:r w:rsidRPr="00E64D71">
        <w:rPr>
          <w:rFonts w:ascii="Tahoma" w:hAnsi="Tahoma" w:cs="Tahoma"/>
          <w:iCs/>
          <w:color w:val="000000"/>
          <w:sz w:val="24"/>
          <w:szCs w:val="24"/>
        </w:rPr>
        <w:t>.</w:t>
      </w:r>
      <w:r w:rsidRPr="00AF78AA">
        <w:rPr>
          <w:rFonts w:ascii="Tahoma" w:hAnsi="Tahoma" w:cs="Tahoma"/>
          <w:iCs/>
          <w:color w:val="000000"/>
          <w:sz w:val="24"/>
          <w:szCs w:val="24"/>
        </w:rPr>
        <w:t>”</w:t>
      </w:r>
    </w:p>
    <w:p w:rsidR="003018C4" w:rsidRDefault="003018C4" w:rsidP="00E64D71">
      <w:pPr>
        <w:spacing w:after="0" w:line="240" w:lineRule="auto"/>
        <w:ind w:right="1440"/>
        <w:jc w:val="both"/>
        <w:rPr>
          <w:rFonts w:ascii="Tahoma" w:hAnsi="Tahoma" w:cs="Tahoma"/>
          <w:iCs/>
          <w:color w:val="000000"/>
          <w:sz w:val="24"/>
          <w:szCs w:val="24"/>
        </w:rPr>
      </w:pPr>
    </w:p>
    <w:p w:rsidR="004442F3" w:rsidRPr="004442F3" w:rsidRDefault="00F76A0B" w:rsidP="004442F3">
      <w:pPr>
        <w:spacing w:before="100" w:beforeAutospacing="1" w:after="100" w:afterAutospacing="1" w:line="480" w:lineRule="auto"/>
        <w:jc w:val="both"/>
        <w:rPr>
          <w:rFonts w:ascii="Tahoma" w:hAnsi="Tahoma" w:cs="Tahoma"/>
          <w:b/>
          <w:bCs/>
          <w:color w:val="000000"/>
          <w:sz w:val="24"/>
          <w:szCs w:val="24"/>
        </w:rPr>
      </w:pPr>
      <w:r>
        <w:rPr>
          <w:rFonts w:ascii="Tahoma" w:hAnsi="Tahoma" w:cs="Tahoma"/>
          <w:iCs/>
          <w:color w:val="000000"/>
          <w:sz w:val="24"/>
          <w:szCs w:val="24"/>
        </w:rPr>
        <w:t>30</w:t>
      </w:r>
      <w:r w:rsidR="003018C4" w:rsidRPr="004442F3">
        <w:rPr>
          <w:rFonts w:ascii="Tahoma" w:hAnsi="Tahoma" w:cs="Tahoma"/>
          <w:iCs/>
          <w:color w:val="000000"/>
          <w:sz w:val="24"/>
          <w:szCs w:val="24"/>
        </w:rPr>
        <w:t xml:space="preserve">.   However, </w:t>
      </w:r>
      <w:r w:rsidR="004442F3" w:rsidRPr="004442F3">
        <w:rPr>
          <w:rFonts w:ascii="Tahoma" w:hAnsi="Tahoma" w:cs="Tahoma"/>
          <w:iCs/>
          <w:color w:val="000000"/>
          <w:sz w:val="24"/>
          <w:szCs w:val="24"/>
        </w:rPr>
        <w:t xml:space="preserve">Lord </w:t>
      </w:r>
      <w:proofErr w:type="spellStart"/>
      <w:r w:rsidR="004442F3" w:rsidRPr="004442F3">
        <w:rPr>
          <w:rFonts w:ascii="Tahoma" w:hAnsi="Tahoma" w:cs="Tahoma"/>
          <w:iCs/>
          <w:color w:val="000000"/>
          <w:sz w:val="24"/>
          <w:szCs w:val="24"/>
        </w:rPr>
        <w:t>Carswell’s</w:t>
      </w:r>
      <w:proofErr w:type="spellEnd"/>
      <w:r w:rsidR="003018C4" w:rsidRPr="004442F3">
        <w:rPr>
          <w:rFonts w:ascii="Tahoma" w:hAnsi="Tahoma" w:cs="Tahoma"/>
          <w:iCs/>
          <w:color w:val="000000"/>
          <w:sz w:val="24"/>
          <w:szCs w:val="24"/>
        </w:rPr>
        <w:t xml:space="preserve"> statement that, where the</w:t>
      </w:r>
      <w:r w:rsidR="004442F3" w:rsidRPr="004442F3">
        <w:rPr>
          <w:rFonts w:ascii="Tahoma" w:hAnsi="Tahoma" w:cs="Tahoma"/>
          <w:iCs/>
          <w:color w:val="000000"/>
          <w:sz w:val="24"/>
          <w:szCs w:val="24"/>
        </w:rPr>
        <w:t xml:space="preserve">re has been an </w:t>
      </w:r>
      <w:r w:rsidR="003018C4" w:rsidRPr="004442F3">
        <w:rPr>
          <w:rFonts w:ascii="Tahoma" w:hAnsi="Tahoma" w:cs="Tahoma"/>
          <w:iCs/>
          <w:color w:val="000000"/>
          <w:sz w:val="24"/>
          <w:szCs w:val="24"/>
        </w:rPr>
        <w:t>omi</w:t>
      </w:r>
      <w:r w:rsidR="004442F3" w:rsidRPr="004442F3">
        <w:rPr>
          <w:rFonts w:ascii="Tahoma" w:hAnsi="Tahoma" w:cs="Tahoma"/>
          <w:iCs/>
          <w:color w:val="000000"/>
          <w:sz w:val="24"/>
          <w:szCs w:val="24"/>
        </w:rPr>
        <w:t>ssion</w:t>
      </w:r>
      <w:r w:rsidR="003018C4" w:rsidRPr="004442F3">
        <w:rPr>
          <w:rFonts w:ascii="Tahoma" w:hAnsi="Tahoma" w:cs="Tahoma"/>
          <w:iCs/>
          <w:color w:val="000000"/>
          <w:sz w:val="24"/>
          <w:szCs w:val="24"/>
        </w:rPr>
        <w:t xml:space="preserve"> to give a good character direction, </w:t>
      </w:r>
      <w:r w:rsidR="003018C4" w:rsidRPr="004442F3">
        <w:rPr>
          <w:rFonts w:ascii="Tahoma" w:hAnsi="Tahoma" w:cs="Tahoma"/>
          <w:color w:val="000000"/>
          <w:sz w:val="24"/>
          <w:szCs w:val="24"/>
        </w:rPr>
        <w:t>“it will rarely be possible for an appellate court to say that the giving of a good character direction could not have affected the outcome of the trial”</w:t>
      </w:r>
      <w:r w:rsidR="004442F3" w:rsidRPr="004442F3">
        <w:rPr>
          <w:rFonts w:ascii="Tahoma" w:hAnsi="Tahoma" w:cs="Tahoma"/>
          <w:color w:val="000000"/>
          <w:sz w:val="24"/>
          <w:szCs w:val="24"/>
        </w:rPr>
        <w:t>,</w:t>
      </w:r>
      <w:r w:rsidR="003018C4" w:rsidRPr="004442F3">
        <w:rPr>
          <w:rFonts w:ascii="Tahoma" w:hAnsi="Tahoma" w:cs="Tahoma"/>
          <w:color w:val="000000"/>
          <w:sz w:val="24"/>
          <w:szCs w:val="24"/>
        </w:rPr>
        <w:t xml:space="preserve"> has since been modified</w:t>
      </w:r>
      <w:r w:rsidR="004442F3" w:rsidRPr="004442F3">
        <w:rPr>
          <w:rFonts w:ascii="Tahoma" w:hAnsi="Tahoma" w:cs="Tahoma"/>
          <w:color w:val="000000"/>
          <w:sz w:val="24"/>
          <w:szCs w:val="24"/>
        </w:rPr>
        <w:t xml:space="preserve"> by </w:t>
      </w:r>
      <w:r w:rsidR="00BD2B13">
        <w:rPr>
          <w:rFonts w:ascii="Tahoma" w:hAnsi="Tahoma" w:cs="Tahoma"/>
          <w:color w:val="000000"/>
          <w:sz w:val="24"/>
          <w:szCs w:val="24"/>
        </w:rPr>
        <w:t xml:space="preserve">reference to </w:t>
      </w:r>
      <w:r w:rsidR="004442F3" w:rsidRPr="004442F3">
        <w:rPr>
          <w:rFonts w:ascii="Tahoma" w:hAnsi="Tahoma" w:cs="Tahoma"/>
          <w:color w:val="000000"/>
          <w:sz w:val="24"/>
          <w:szCs w:val="24"/>
        </w:rPr>
        <w:t>the</w:t>
      </w:r>
      <w:r w:rsidR="00BD2B13">
        <w:rPr>
          <w:rFonts w:ascii="Tahoma" w:hAnsi="Tahoma" w:cs="Tahoma"/>
          <w:color w:val="000000"/>
          <w:sz w:val="24"/>
          <w:szCs w:val="24"/>
        </w:rPr>
        <w:t xml:space="preserve"> important</w:t>
      </w:r>
      <w:r w:rsidR="004442F3" w:rsidRPr="004442F3">
        <w:rPr>
          <w:rFonts w:ascii="Tahoma" w:hAnsi="Tahoma" w:cs="Tahoma"/>
          <w:color w:val="000000"/>
          <w:sz w:val="24"/>
          <w:szCs w:val="24"/>
        </w:rPr>
        <w:t xml:space="preserve"> consideration that, where it is omitted, it will be necessary to consider in each case the impact that a good character might have had on the conviction. </w:t>
      </w:r>
      <w:bookmarkStart w:id="15" w:name="para42"/>
      <w:r w:rsidR="004442F3" w:rsidRPr="004442F3">
        <w:rPr>
          <w:rFonts w:ascii="Tahoma" w:hAnsi="Tahoma" w:cs="Tahoma"/>
          <w:color w:val="000000"/>
          <w:sz w:val="24"/>
          <w:szCs w:val="24"/>
        </w:rPr>
        <w:t xml:space="preserve">As Lord </w:t>
      </w:r>
      <w:proofErr w:type="spellStart"/>
      <w:r w:rsidR="004442F3" w:rsidRPr="004442F3">
        <w:rPr>
          <w:rFonts w:ascii="Tahoma" w:hAnsi="Tahoma" w:cs="Tahoma"/>
          <w:color w:val="000000"/>
          <w:sz w:val="24"/>
          <w:szCs w:val="24"/>
        </w:rPr>
        <w:t>Mance</w:t>
      </w:r>
      <w:proofErr w:type="spellEnd"/>
      <w:r w:rsidR="004442F3" w:rsidRPr="004442F3">
        <w:rPr>
          <w:rFonts w:ascii="Tahoma" w:hAnsi="Tahoma" w:cs="Tahoma"/>
          <w:color w:val="000000"/>
          <w:sz w:val="24"/>
          <w:szCs w:val="24"/>
        </w:rPr>
        <w:t xml:space="preserve"> </w:t>
      </w:r>
      <w:r w:rsidR="00DE507B">
        <w:rPr>
          <w:rFonts w:ascii="Tahoma" w:hAnsi="Tahoma" w:cs="Tahoma"/>
          <w:color w:val="000000"/>
          <w:sz w:val="24"/>
          <w:szCs w:val="24"/>
        </w:rPr>
        <w:t>demonstrated from an examination of some relevant authorities</w:t>
      </w:r>
      <w:r w:rsidR="004442F3" w:rsidRPr="004442F3">
        <w:rPr>
          <w:rFonts w:ascii="Tahoma" w:hAnsi="Tahoma" w:cs="Tahoma"/>
          <w:color w:val="000000"/>
          <w:sz w:val="24"/>
          <w:szCs w:val="24"/>
        </w:rPr>
        <w:t xml:space="preserve"> in </w:t>
      </w:r>
      <w:r w:rsidR="004442F3" w:rsidRPr="004442F3">
        <w:rPr>
          <w:rFonts w:ascii="Tahoma" w:hAnsi="Tahoma" w:cs="Tahoma"/>
          <w:b/>
          <w:color w:val="000000"/>
          <w:sz w:val="24"/>
          <w:szCs w:val="24"/>
        </w:rPr>
        <w:t>Noel Campbell v R</w:t>
      </w:r>
      <w:r w:rsidR="004442F3" w:rsidRPr="004442F3">
        <w:rPr>
          <w:rStyle w:val="FootnoteReference"/>
          <w:rFonts w:ascii="Tahoma" w:hAnsi="Tahoma" w:cs="Tahoma"/>
          <w:color w:val="000000"/>
          <w:sz w:val="24"/>
          <w:szCs w:val="24"/>
        </w:rPr>
        <w:footnoteReference w:id="48"/>
      </w:r>
      <w:r w:rsidR="004442F3" w:rsidRPr="004442F3">
        <w:rPr>
          <w:rFonts w:ascii="Tahoma" w:hAnsi="Tahoma" w:cs="Tahoma"/>
          <w:color w:val="000000"/>
          <w:sz w:val="24"/>
          <w:szCs w:val="24"/>
        </w:rPr>
        <w:t xml:space="preserve">, </w:t>
      </w:r>
      <w:r w:rsidR="004442F3">
        <w:rPr>
          <w:rFonts w:ascii="Tahoma" w:hAnsi="Tahoma" w:cs="Tahoma"/>
          <w:color w:val="000000"/>
          <w:sz w:val="24"/>
          <w:szCs w:val="24"/>
        </w:rPr>
        <w:t>“[t]</w:t>
      </w:r>
      <w:r w:rsidR="004442F3" w:rsidRPr="00DE507B">
        <w:rPr>
          <w:rFonts w:ascii="Tahoma" w:hAnsi="Tahoma" w:cs="Tahoma"/>
          <w:bCs/>
          <w:color w:val="000000"/>
          <w:sz w:val="24"/>
          <w:szCs w:val="24"/>
        </w:rPr>
        <w:t>he absence of a good character direction is by no means necessarily fatal</w:t>
      </w:r>
      <w:r w:rsidR="00DE507B">
        <w:rPr>
          <w:rFonts w:ascii="Tahoma" w:hAnsi="Tahoma" w:cs="Tahoma"/>
          <w:bCs/>
          <w:color w:val="000000"/>
          <w:sz w:val="24"/>
          <w:szCs w:val="24"/>
        </w:rPr>
        <w:t>”. Thus in</w:t>
      </w:r>
      <w:r w:rsidR="004442F3" w:rsidRPr="004442F3">
        <w:rPr>
          <w:rStyle w:val="apple-converted-space"/>
          <w:rFonts w:ascii="Tahoma" w:hAnsi="Tahoma" w:cs="Tahoma"/>
          <w:b/>
          <w:bCs/>
          <w:color w:val="000000"/>
          <w:sz w:val="24"/>
          <w:szCs w:val="24"/>
        </w:rPr>
        <w:t> </w:t>
      </w:r>
      <w:proofErr w:type="spellStart"/>
      <w:r w:rsidR="004442F3" w:rsidRPr="00DE507B">
        <w:rPr>
          <w:rFonts w:ascii="Tahoma" w:hAnsi="Tahoma" w:cs="Tahoma"/>
          <w:b/>
          <w:bCs/>
          <w:iCs/>
          <w:color w:val="000000"/>
          <w:sz w:val="24"/>
          <w:szCs w:val="24"/>
        </w:rPr>
        <w:t>Balson</w:t>
      </w:r>
      <w:proofErr w:type="spellEnd"/>
      <w:r w:rsidR="004442F3" w:rsidRPr="00DE507B">
        <w:rPr>
          <w:rFonts w:ascii="Tahoma" w:hAnsi="Tahoma" w:cs="Tahoma"/>
          <w:b/>
          <w:bCs/>
          <w:iCs/>
          <w:color w:val="000000"/>
          <w:sz w:val="24"/>
          <w:szCs w:val="24"/>
        </w:rPr>
        <w:t xml:space="preserve"> v </w:t>
      </w:r>
      <w:r w:rsidR="00DE507B">
        <w:rPr>
          <w:rFonts w:ascii="Tahoma" w:hAnsi="Tahoma" w:cs="Tahoma"/>
          <w:b/>
          <w:bCs/>
          <w:iCs/>
          <w:color w:val="000000"/>
          <w:sz w:val="24"/>
          <w:szCs w:val="24"/>
        </w:rPr>
        <w:t>R</w:t>
      </w:r>
      <w:r w:rsidR="00DE507B" w:rsidRPr="00DE507B">
        <w:rPr>
          <w:rStyle w:val="FootnoteReference"/>
          <w:rFonts w:ascii="Tahoma" w:hAnsi="Tahoma" w:cs="Tahoma"/>
          <w:bCs/>
          <w:iCs/>
          <w:color w:val="000000"/>
          <w:sz w:val="24"/>
          <w:szCs w:val="24"/>
        </w:rPr>
        <w:footnoteReference w:id="49"/>
      </w:r>
      <w:r w:rsidR="00DE507B">
        <w:rPr>
          <w:rStyle w:val="apple-converted-space"/>
          <w:rFonts w:ascii="Tahoma" w:hAnsi="Tahoma" w:cs="Tahoma"/>
          <w:bCs/>
          <w:iCs/>
          <w:color w:val="000000"/>
          <w:sz w:val="24"/>
          <w:szCs w:val="24"/>
        </w:rPr>
        <w:t>, in which no good character direction was given because of counsel’s failure to put the defendant’s character in issue, Lord Hope considered</w:t>
      </w:r>
      <w:r w:rsidR="00DE507B">
        <w:rPr>
          <w:rStyle w:val="FootnoteReference"/>
          <w:rFonts w:ascii="Tahoma" w:hAnsi="Tahoma" w:cs="Tahoma"/>
          <w:bCs/>
          <w:iCs/>
          <w:color w:val="000000"/>
          <w:sz w:val="24"/>
          <w:szCs w:val="24"/>
        </w:rPr>
        <w:footnoteReference w:id="50"/>
      </w:r>
      <w:r w:rsidR="00DE507B">
        <w:rPr>
          <w:rStyle w:val="apple-converted-space"/>
          <w:rFonts w:ascii="Tahoma" w:hAnsi="Tahoma" w:cs="Tahoma"/>
          <w:bCs/>
          <w:iCs/>
          <w:color w:val="000000"/>
          <w:sz w:val="24"/>
          <w:szCs w:val="24"/>
        </w:rPr>
        <w:t xml:space="preserve"> that </w:t>
      </w:r>
      <w:bookmarkEnd w:id="15"/>
      <w:r w:rsidR="004442F3" w:rsidRPr="00DE507B">
        <w:rPr>
          <w:rFonts w:ascii="Tahoma" w:hAnsi="Tahoma" w:cs="Tahoma"/>
          <w:bCs/>
          <w:color w:val="000000"/>
          <w:sz w:val="24"/>
          <w:szCs w:val="24"/>
        </w:rPr>
        <w:t xml:space="preserve">"the nature and coherence of the circumstantial evidence" </w:t>
      </w:r>
      <w:r w:rsidR="00DE507B">
        <w:rPr>
          <w:rFonts w:ascii="Tahoma" w:hAnsi="Tahoma" w:cs="Tahoma"/>
          <w:bCs/>
          <w:color w:val="000000"/>
          <w:sz w:val="24"/>
          <w:szCs w:val="24"/>
        </w:rPr>
        <w:t xml:space="preserve">in the case </w:t>
      </w:r>
      <w:r w:rsidR="004442F3" w:rsidRPr="00DE507B">
        <w:rPr>
          <w:rFonts w:ascii="Tahoma" w:hAnsi="Tahoma" w:cs="Tahoma"/>
          <w:bCs/>
          <w:color w:val="000000"/>
          <w:sz w:val="24"/>
          <w:szCs w:val="24"/>
        </w:rPr>
        <w:t>"wholly outweighed" any assistance that such a direction might have given</w:t>
      </w:r>
      <w:r w:rsidR="00DE507B">
        <w:rPr>
          <w:rFonts w:ascii="Tahoma" w:hAnsi="Tahoma" w:cs="Tahoma"/>
          <w:bCs/>
          <w:color w:val="000000"/>
          <w:sz w:val="24"/>
          <w:szCs w:val="24"/>
        </w:rPr>
        <w:t xml:space="preserve">. </w:t>
      </w:r>
      <w:r w:rsidR="004442F3" w:rsidRPr="00EF4643">
        <w:rPr>
          <w:rFonts w:ascii="Tahoma" w:hAnsi="Tahoma" w:cs="Tahoma"/>
          <w:bCs/>
          <w:color w:val="000000"/>
          <w:sz w:val="24"/>
          <w:szCs w:val="24"/>
        </w:rPr>
        <w:t>In</w:t>
      </w:r>
      <w:r w:rsidR="004442F3" w:rsidRPr="00EF4643">
        <w:rPr>
          <w:rStyle w:val="apple-converted-space"/>
          <w:rFonts w:ascii="Tahoma" w:hAnsi="Tahoma" w:cs="Tahoma"/>
          <w:bCs/>
          <w:color w:val="000000"/>
          <w:sz w:val="24"/>
          <w:szCs w:val="24"/>
        </w:rPr>
        <w:t> </w:t>
      </w:r>
      <w:r w:rsidR="004442F3" w:rsidRPr="00EF4643">
        <w:rPr>
          <w:rFonts w:ascii="Tahoma" w:hAnsi="Tahoma" w:cs="Tahoma"/>
          <w:b/>
          <w:bCs/>
          <w:iCs/>
          <w:color w:val="000000"/>
          <w:sz w:val="24"/>
          <w:szCs w:val="24"/>
        </w:rPr>
        <w:t xml:space="preserve">Brown (Uriah) v </w:t>
      </w:r>
      <w:r w:rsidR="00EF4643">
        <w:rPr>
          <w:rFonts w:ascii="Tahoma" w:hAnsi="Tahoma" w:cs="Tahoma"/>
          <w:b/>
          <w:bCs/>
          <w:iCs/>
          <w:color w:val="000000"/>
          <w:sz w:val="24"/>
          <w:szCs w:val="24"/>
        </w:rPr>
        <w:t>R</w:t>
      </w:r>
      <w:r w:rsidR="00EF4643" w:rsidRPr="00EF4643">
        <w:rPr>
          <w:rStyle w:val="FootnoteReference"/>
          <w:rFonts w:ascii="Tahoma" w:hAnsi="Tahoma" w:cs="Tahoma"/>
          <w:bCs/>
          <w:iCs/>
          <w:color w:val="000000"/>
          <w:sz w:val="24"/>
          <w:szCs w:val="24"/>
        </w:rPr>
        <w:footnoteReference w:id="51"/>
      </w:r>
      <w:r w:rsidR="00EF4643" w:rsidRPr="00EF4643">
        <w:rPr>
          <w:rFonts w:ascii="Tahoma" w:hAnsi="Tahoma" w:cs="Tahoma"/>
          <w:bCs/>
          <w:iCs/>
          <w:color w:val="000000"/>
          <w:sz w:val="24"/>
          <w:szCs w:val="24"/>
        </w:rPr>
        <w:t xml:space="preserve">, which was a motor manslaughter case, the failure of the judge to give a good character direction was again attributable entirely to counsel’s omission to raise the matter. In a judgment delivered </w:t>
      </w:r>
      <w:r w:rsidR="00EF4643" w:rsidRPr="00EF4643">
        <w:rPr>
          <w:rFonts w:ascii="Tahoma" w:hAnsi="Tahoma" w:cs="Tahoma"/>
          <w:bCs/>
          <w:iCs/>
          <w:color w:val="000000"/>
          <w:sz w:val="24"/>
          <w:szCs w:val="24"/>
        </w:rPr>
        <w:lastRenderedPageBreak/>
        <w:t xml:space="preserve">by Lord </w:t>
      </w:r>
      <w:proofErr w:type="spellStart"/>
      <w:r w:rsidR="00EF4643" w:rsidRPr="00EF4643">
        <w:rPr>
          <w:rFonts w:ascii="Tahoma" w:hAnsi="Tahoma" w:cs="Tahoma"/>
          <w:bCs/>
          <w:iCs/>
          <w:color w:val="000000"/>
          <w:sz w:val="24"/>
          <w:szCs w:val="24"/>
        </w:rPr>
        <w:t>Carswell</w:t>
      </w:r>
      <w:proofErr w:type="spellEnd"/>
      <w:r w:rsidR="00EF4643" w:rsidRPr="00EF4643">
        <w:rPr>
          <w:rFonts w:ascii="Tahoma" w:hAnsi="Tahoma" w:cs="Tahoma"/>
          <w:bCs/>
          <w:iCs/>
          <w:color w:val="000000"/>
          <w:sz w:val="24"/>
          <w:szCs w:val="24"/>
        </w:rPr>
        <w:t>, the Board took the view</w:t>
      </w:r>
      <w:r w:rsidR="00EF4643" w:rsidRPr="00EF4643">
        <w:rPr>
          <w:rStyle w:val="FootnoteReference"/>
          <w:rFonts w:ascii="Tahoma" w:hAnsi="Tahoma" w:cs="Tahoma"/>
          <w:bCs/>
          <w:iCs/>
          <w:color w:val="000000"/>
          <w:sz w:val="24"/>
          <w:szCs w:val="24"/>
        </w:rPr>
        <w:footnoteReference w:id="52"/>
      </w:r>
      <w:r w:rsidR="00EF4643" w:rsidRPr="00EF4643">
        <w:rPr>
          <w:rFonts w:ascii="Tahoma" w:hAnsi="Tahoma" w:cs="Tahoma"/>
          <w:bCs/>
          <w:iCs/>
          <w:color w:val="000000"/>
          <w:sz w:val="24"/>
          <w:szCs w:val="24"/>
        </w:rPr>
        <w:t xml:space="preserve"> that, while not wishing </w:t>
      </w:r>
      <w:bookmarkStart w:id="16" w:name="para38"/>
      <w:r w:rsidR="00EF4643" w:rsidRPr="00EF4643">
        <w:rPr>
          <w:rFonts w:ascii="Tahoma" w:hAnsi="Tahoma" w:cs="Tahoma"/>
          <w:b/>
          <w:bCs/>
          <w:iCs/>
          <w:color w:val="000000"/>
          <w:sz w:val="24"/>
          <w:szCs w:val="24"/>
        </w:rPr>
        <w:t>“</w:t>
      </w:r>
      <w:r w:rsidR="00EF4643" w:rsidRPr="00EF4643">
        <w:rPr>
          <w:rFonts w:ascii="Tahoma" w:hAnsi="Tahoma" w:cs="Tahoma"/>
          <w:color w:val="000000"/>
          <w:sz w:val="24"/>
          <w:szCs w:val="24"/>
        </w:rPr>
        <w:t xml:space="preserve">to </w:t>
      </w:r>
      <w:proofErr w:type="spellStart"/>
      <w:r w:rsidR="00EF4643" w:rsidRPr="00EF4643">
        <w:rPr>
          <w:rFonts w:ascii="Tahoma" w:hAnsi="Tahoma" w:cs="Tahoma"/>
          <w:color w:val="000000"/>
          <w:sz w:val="24"/>
          <w:szCs w:val="24"/>
        </w:rPr>
        <w:t>minimise</w:t>
      </w:r>
      <w:proofErr w:type="spellEnd"/>
      <w:r w:rsidR="00EF4643" w:rsidRPr="00EF4643">
        <w:rPr>
          <w:rFonts w:ascii="Tahoma" w:hAnsi="Tahoma" w:cs="Tahoma"/>
          <w:color w:val="000000"/>
          <w:sz w:val="24"/>
          <w:szCs w:val="24"/>
        </w:rPr>
        <w:t xml:space="preserve"> the importance of good character or of the proper direction being given by trial judges...in a case of the present type such a direction will be of less significance in assisting the jury to come to a correct conclusion than in other types of prosecution”</w:t>
      </w:r>
      <w:r w:rsidR="00AC4AC8">
        <w:rPr>
          <w:rFonts w:ascii="Tahoma" w:hAnsi="Tahoma" w:cs="Tahoma"/>
          <w:color w:val="000000"/>
          <w:sz w:val="24"/>
          <w:szCs w:val="24"/>
        </w:rPr>
        <w:t>.</w:t>
      </w:r>
      <w:r w:rsidR="00EF4643" w:rsidRPr="00EF4643">
        <w:rPr>
          <w:rFonts w:ascii="Tahoma" w:hAnsi="Tahoma" w:cs="Tahoma"/>
          <w:color w:val="000000"/>
          <w:sz w:val="24"/>
          <w:szCs w:val="24"/>
        </w:rPr>
        <w:t xml:space="preserve"> Accordingly, while marking the fact that the failure to put in evidence of good character at the appropriate time was “a regrettable omission on the part of counsel”, the Board conclu</w:t>
      </w:r>
      <w:r w:rsidR="00AC4AC8">
        <w:rPr>
          <w:rFonts w:ascii="Tahoma" w:hAnsi="Tahoma" w:cs="Tahoma"/>
          <w:color w:val="000000"/>
          <w:sz w:val="24"/>
          <w:szCs w:val="24"/>
        </w:rPr>
        <w:t>ded</w:t>
      </w:r>
      <w:r w:rsidR="00EF4643" w:rsidRPr="00EF4643">
        <w:rPr>
          <w:rFonts w:ascii="Tahoma" w:hAnsi="Tahoma" w:cs="Tahoma"/>
          <w:color w:val="000000"/>
          <w:sz w:val="24"/>
          <w:szCs w:val="24"/>
        </w:rPr>
        <w:t xml:space="preserve"> that</w:t>
      </w:r>
      <w:r w:rsidR="00E64D71">
        <w:rPr>
          <w:rFonts w:ascii="Tahoma" w:hAnsi="Tahoma" w:cs="Tahoma"/>
          <w:color w:val="000000"/>
          <w:sz w:val="24"/>
          <w:szCs w:val="24"/>
        </w:rPr>
        <w:t>,</w:t>
      </w:r>
      <w:r w:rsidR="00EF4643" w:rsidRPr="00EF4643">
        <w:rPr>
          <w:rFonts w:ascii="Tahoma" w:hAnsi="Tahoma" w:cs="Tahoma"/>
          <w:color w:val="000000"/>
          <w:sz w:val="24"/>
          <w:szCs w:val="24"/>
        </w:rPr>
        <w:t xml:space="preserve"> on balance</w:t>
      </w:r>
      <w:r w:rsidR="00E64D71">
        <w:rPr>
          <w:rFonts w:ascii="Tahoma" w:hAnsi="Tahoma" w:cs="Tahoma"/>
          <w:color w:val="000000"/>
          <w:sz w:val="24"/>
          <w:szCs w:val="24"/>
        </w:rPr>
        <w:t>,</w:t>
      </w:r>
      <w:r w:rsidR="00EF4643" w:rsidRPr="00EF4643">
        <w:rPr>
          <w:rFonts w:ascii="Tahoma" w:hAnsi="Tahoma" w:cs="Tahoma"/>
          <w:color w:val="000000"/>
          <w:sz w:val="24"/>
          <w:szCs w:val="24"/>
        </w:rPr>
        <w:t xml:space="preserve"> there </w:t>
      </w:r>
      <w:r w:rsidR="00E64D71">
        <w:rPr>
          <w:rFonts w:ascii="Tahoma" w:hAnsi="Tahoma" w:cs="Tahoma"/>
          <w:color w:val="000000"/>
          <w:sz w:val="24"/>
          <w:szCs w:val="24"/>
        </w:rPr>
        <w:t>had been</w:t>
      </w:r>
      <w:r w:rsidR="00EF4643" w:rsidRPr="00EF4643">
        <w:rPr>
          <w:rFonts w:ascii="Tahoma" w:hAnsi="Tahoma" w:cs="Tahoma"/>
          <w:color w:val="000000"/>
          <w:sz w:val="24"/>
          <w:szCs w:val="24"/>
        </w:rPr>
        <w:t xml:space="preserve"> no substantial miscarriage of justice.</w:t>
      </w:r>
      <w:bookmarkEnd w:id="16"/>
      <w:r w:rsidR="004442F3" w:rsidRPr="004442F3">
        <w:rPr>
          <w:rFonts w:ascii="Tahoma" w:hAnsi="Tahoma" w:cs="Tahoma"/>
          <w:b/>
          <w:bCs/>
          <w:color w:val="000000"/>
          <w:sz w:val="24"/>
          <w:szCs w:val="24"/>
        </w:rPr>
        <w:t xml:space="preserve"> </w:t>
      </w:r>
      <w:r w:rsidR="008E225E" w:rsidRPr="008E225E">
        <w:rPr>
          <w:rFonts w:ascii="Tahoma" w:hAnsi="Tahoma" w:cs="Tahoma"/>
          <w:bCs/>
          <w:color w:val="000000"/>
          <w:sz w:val="24"/>
          <w:szCs w:val="24"/>
        </w:rPr>
        <w:t>And i</w:t>
      </w:r>
      <w:r w:rsidR="004442F3" w:rsidRPr="008E225E">
        <w:rPr>
          <w:rFonts w:ascii="Tahoma" w:hAnsi="Tahoma" w:cs="Tahoma"/>
          <w:bCs/>
          <w:color w:val="000000"/>
          <w:sz w:val="24"/>
          <w:szCs w:val="24"/>
        </w:rPr>
        <w:t>n</w:t>
      </w:r>
      <w:r w:rsidR="004442F3" w:rsidRPr="008E225E">
        <w:rPr>
          <w:rStyle w:val="apple-converted-space"/>
          <w:rFonts w:ascii="Tahoma" w:hAnsi="Tahoma" w:cs="Tahoma"/>
          <w:bCs/>
          <w:color w:val="000000"/>
          <w:sz w:val="24"/>
          <w:szCs w:val="24"/>
        </w:rPr>
        <w:t> </w:t>
      </w:r>
      <w:proofErr w:type="spellStart"/>
      <w:r w:rsidR="004442F3" w:rsidRPr="008E225E">
        <w:rPr>
          <w:rFonts w:ascii="Tahoma" w:hAnsi="Tahoma" w:cs="Tahoma"/>
          <w:b/>
          <w:bCs/>
          <w:iCs/>
          <w:color w:val="000000"/>
          <w:sz w:val="24"/>
          <w:szCs w:val="24"/>
        </w:rPr>
        <w:t>Jagdeo</w:t>
      </w:r>
      <w:proofErr w:type="spellEnd"/>
      <w:r w:rsidR="004442F3" w:rsidRPr="008E225E">
        <w:rPr>
          <w:rFonts w:ascii="Tahoma" w:hAnsi="Tahoma" w:cs="Tahoma"/>
          <w:b/>
          <w:bCs/>
          <w:iCs/>
          <w:color w:val="000000"/>
          <w:sz w:val="24"/>
          <w:szCs w:val="24"/>
        </w:rPr>
        <w:t xml:space="preserve"> Singh v State of Trinidad and Tobago</w:t>
      </w:r>
      <w:r w:rsidR="008E225E" w:rsidRPr="008E225E">
        <w:rPr>
          <w:rStyle w:val="FootnoteReference"/>
          <w:rFonts w:ascii="Tahoma" w:hAnsi="Tahoma" w:cs="Tahoma"/>
          <w:bCs/>
          <w:iCs/>
          <w:color w:val="000000"/>
          <w:sz w:val="24"/>
          <w:szCs w:val="24"/>
        </w:rPr>
        <w:footnoteReference w:id="53"/>
      </w:r>
      <w:r w:rsidR="008E225E" w:rsidRPr="008E225E">
        <w:rPr>
          <w:rFonts w:ascii="Tahoma" w:hAnsi="Tahoma" w:cs="Tahoma"/>
          <w:bCs/>
          <w:iCs/>
          <w:color w:val="000000"/>
          <w:sz w:val="24"/>
          <w:szCs w:val="24"/>
        </w:rPr>
        <w:t xml:space="preserve">, </w:t>
      </w:r>
      <w:r w:rsidR="008E225E">
        <w:rPr>
          <w:rStyle w:val="apple-converted-space"/>
          <w:rFonts w:ascii="Tahoma" w:hAnsi="Tahoma" w:cs="Tahoma"/>
          <w:bCs/>
          <w:iCs/>
          <w:color w:val="000000"/>
          <w:sz w:val="24"/>
          <w:szCs w:val="24"/>
        </w:rPr>
        <w:t>Lord Bingham said:</w:t>
      </w:r>
    </w:p>
    <w:p w:rsidR="004442F3" w:rsidRDefault="004442F3" w:rsidP="008E225E">
      <w:pPr>
        <w:spacing w:line="240" w:lineRule="auto"/>
        <w:ind w:left="1440" w:right="1440"/>
        <w:jc w:val="both"/>
        <w:rPr>
          <w:rFonts w:ascii="Tahoma" w:hAnsi="Tahoma" w:cs="Tahoma"/>
          <w:bCs/>
          <w:color w:val="000000"/>
          <w:sz w:val="24"/>
          <w:szCs w:val="24"/>
        </w:rPr>
      </w:pPr>
      <w:r w:rsidRPr="008E225E">
        <w:rPr>
          <w:rFonts w:ascii="Tahoma" w:hAnsi="Tahoma" w:cs="Tahoma"/>
          <w:bCs/>
          <w:color w:val="000000"/>
          <w:sz w:val="24"/>
          <w:szCs w:val="24"/>
        </w:rPr>
        <w:t>"</w:t>
      </w:r>
      <w:r w:rsidR="00EF0BB0" w:rsidRPr="00EF0BB0">
        <w:rPr>
          <w:rFonts w:ascii="Tahoma" w:hAnsi="Tahoma" w:cs="Tahoma"/>
          <w:color w:val="000000"/>
          <w:sz w:val="24"/>
          <w:szCs w:val="24"/>
        </w:rPr>
        <w:t>The significance of what is not said is a summing-up should be judged in the light of what is said. The omission of a good character direction on credibility is not necessarily fatal to the fairness of the trial or to the safety of a conviction</w:t>
      </w:r>
      <w:r w:rsidR="00C13DB6">
        <w:rPr>
          <w:rFonts w:ascii="Tahoma" w:hAnsi="Tahoma" w:cs="Tahoma"/>
          <w:color w:val="000000"/>
          <w:sz w:val="24"/>
          <w:szCs w:val="24"/>
        </w:rPr>
        <w:t>.</w:t>
      </w:r>
      <w:r w:rsidR="00EF0BB0" w:rsidRPr="008E225E">
        <w:rPr>
          <w:rFonts w:ascii="Tahoma" w:hAnsi="Tahoma" w:cs="Tahoma"/>
          <w:bCs/>
          <w:color w:val="000000"/>
          <w:sz w:val="24"/>
          <w:szCs w:val="24"/>
        </w:rPr>
        <w:t xml:space="preserve"> </w:t>
      </w:r>
      <w:r w:rsidRPr="008E225E">
        <w:rPr>
          <w:rFonts w:ascii="Tahoma" w:hAnsi="Tahoma" w:cs="Tahoma"/>
          <w:bCs/>
          <w:color w:val="000000"/>
          <w:sz w:val="24"/>
          <w:szCs w:val="24"/>
        </w:rPr>
        <w:t>Much may turn on the nature of and issues in a case, and on the other available evidence. The ends of justice are not on the whole well served by the laying down of hard, inflexible rules from which no departure may ever be tolerated".</w:t>
      </w:r>
      <w:r w:rsidR="008E225E">
        <w:rPr>
          <w:rStyle w:val="FootnoteReference"/>
          <w:rFonts w:ascii="Tahoma" w:hAnsi="Tahoma" w:cs="Tahoma"/>
          <w:bCs/>
          <w:color w:val="000000"/>
          <w:sz w:val="24"/>
          <w:szCs w:val="24"/>
        </w:rPr>
        <w:footnoteReference w:id="54"/>
      </w:r>
    </w:p>
    <w:p w:rsidR="00142F1E" w:rsidRDefault="00142F1E" w:rsidP="00142F1E">
      <w:pPr>
        <w:spacing w:after="0" w:line="240" w:lineRule="auto"/>
        <w:ind w:left="1440" w:right="1440"/>
        <w:jc w:val="both"/>
        <w:rPr>
          <w:rFonts w:ascii="Tahoma" w:hAnsi="Tahoma" w:cs="Tahoma"/>
          <w:bCs/>
          <w:color w:val="000000"/>
          <w:sz w:val="24"/>
          <w:szCs w:val="24"/>
        </w:rPr>
      </w:pPr>
    </w:p>
    <w:p w:rsidR="009B59D9" w:rsidRPr="005D0CE8" w:rsidRDefault="00F76A0B" w:rsidP="00142F1E">
      <w:pPr>
        <w:spacing w:before="100" w:beforeAutospacing="1" w:after="100" w:afterAutospacing="1" w:line="480" w:lineRule="auto"/>
        <w:jc w:val="both"/>
        <w:rPr>
          <w:rFonts w:ascii="Tahoma" w:hAnsi="Tahoma" w:cs="Tahoma"/>
          <w:bCs/>
          <w:color w:val="000000"/>
          <w:sz w:val="24"/>
          <w:szCs w:val="24"/>
        </w:rPr>
      </w:pPr>
      <w:r>
        <w:rPr>
          <w:rFonts w:ascii="Tahoma" w:hAnsi="Tahoma" w:cs="Tahoma"/>
          <w:bCs/>
          <w:color w:val="000000"/>
          <w:sz w:val="24"/>
          <w:szCs w:val="24"/>
        </w:rPr>
        <w:t>31</w:t>
      </w:r>
      <w:r w:rsidR="00142F1E" w:rsidRPr="00142F1E">
        <w:rPr>
          <w:rFonts w:ascii="Tahoma" w:hAnsi="Tahoma" w:cs="Tahoma"/>
          <w:bCs/>
          <w:color w:val="000000"/>
          <w:sz w:val="24"/>
          <w:szCs w:val="24"/>
        </w:rPr>
        <w:t>.</w:t>
      </w:r>
      <w:r w:rsidR="009B59D9">
        <w:rPr>
          <w:rFonts w:ascii="Tahoma" w:hAnsi="Tahoma" w:cs="Tahoma"/>
          <w:bCs/>
          <w:color w:val="000000"/>
          <w:sz w:val="24"/>
          <w:szCs w:val="24"/>
        </w:rPr>
        <w:t xml:space="preserve">   In</w:t>
      </w:r>
      <w:r w:rsidR="009B59D9" w:rsidRPr="009B59D9">
        <w:rPr>
          <w:rFonts w:ascii="Tahoma" w:hAnsi="Tahoma" w:cs="Tahoma"/>
          <w:b/>
          <w:bCs/>
          <w:color w:val="000000"/>
          <w:sz w:val="24"/>
          <w:szCs w:val="24"/>
        </w:rPr>
        <w:t xml:space="preserve"> </w:t>
      </w:r>
      <w:r w:rsidR="009B59D9" w:rsidRPr="009B59D9">
        <w:rPr>
          <w:rFonts w:ascii="Tahoma" w:hAnsi="Tahoma" w:cs="Tahoma"/>
          <w:b/>
          <w:bCs/>
          <w:iCs/>
          <w:color w:val="000000"/>
          <w:sz w:val="24"/>
          <w:szCs w:val="24"/>
        </w:rPr>
        <w:t>Nigel Brown v State of Trinidad and Tobago</w:t>
      </w:r>
      <w:r w:rsidR="009B59D9" w:rsidRPr="009B59D9">
        <w:rPr>
          <w:rStyle w:val="FootnoteReference"/>
          <w:rFonts w:ascii="Tahoma" w:hAnsi="Tahoma" w:cs="Tahoma"/>
          <w:bCs/>
          <w:iCs/>
          <w:color w:val="000000"/>
          <w:sz w:val="24"/>
          <w:szCs w:val="24"/>
        </w:rPr>
        <w:footnoteReference w:id="55"/>
      </w:r>
      <w:r w:rsidR="009B59D9" w:rsidRPr="009B59D9">
        <w:rPr>
          <w:rStyle w:val="apple-converted-space"/>
          <w:bCs/>
          <w:i/>
          <w:iCs/>
          <w:color w:val="000000"/>
          <w:sz w:val="27"/>
          <w:szCs w:val="27"/>
        </w:rPr>
        <w:t xml:space="preserve">, </w:t>
      </w:r>
      <w:r w:rsidR="009B59D9" w:rsidRPr="005D0CE8">
        <w:rPr>
          <w:rStyle w:val="apple-converted-space"/>
          <w:rFonts w:ascii="Tahoma" w:hAnsi="Tahoma" w:cs="Tahoma"/>
          <w:bCs/>
          <w:iCs/>
          <w:color w:val="000000"/>
          <w:sz w:val="24"/>
          <w:szCs w:val="24"/>
        </w:rPr>
        <w:t>Lord Kerr</w:t>
      </w:r>
      <w:r w:rsidR="005D0CE8" w:rsidRPr="005D0CE8">
        <w:rPr>
          <w:rStyle w:val="apple-converted-space"/>
          <w:rFonts w:ascii="Tahoma" w:hAnsi="Tahoma" w:cs="Tahoma"/>
          <w:bCs/>
          <w:iCs/>
          <w:color w:val="000000"/>
          <w:sz w:val="24"/>
          <w:szCs w:val="24"/>
        </w:rPr>
        <w:t xml:space="preserve"> concluded his review of </w:t>
      </w:r>
      <w:r w:rsidR="009B59D9" w:rsidRPr="005D0CE8">
        <w:rPr>
          <w:rStyle w:val="apple-converted-space"/>
          <w:rFonts w:ascii="Tahoma" w:hAnsi="Tahoma" w:cs="Tahoma"/>
          <w:bCs/>
          <w:iCs/>
          <w:color w:val="000000"/>
          <w:sz w:val="24"/>
          <w:szCs w:val="24"/>
        </w:rPr>
        <w:t>the cases referred to in the previous paragraph, w</w:t>
      </w:r>
      <w:r w:rsidR="005D0CE8" w:rsidRPr="005D0CE8">
        <w:rPr>
          <w:rStyle w:val="apple-converted-space"/>
          <w:rFonts w:ascii="Tahoma" w:hAnsi="Tahoma" w:cs="Tahoma"/>
          <w:bCs/>
          <w:iCs/>
          <w:color w:val="000000"/>
          <w:sz w:val="24"/>
          <w:szCs w:val="24"/>
        </w:rPr>
        <w:t>ith the comment</w:t>
      </w:r>
      <w:r w:rsidR="009B59D9" w:rsidRPr="005D0CE8">
        <w:rPr>
          <w:rStyle w:val="apple-converted-space"/>
          <w:rFonts w:ascii="Tahoma" w:hAnsi="Tahoma" w:cs="Tahoma"/>
          <w:bCs/>
          <w:iCs/>
          <w:color w:val="000000"/>
          <w:sz w:val="24"/>
          <w:szCs w:val="24"/>
        </w:rPr>
        <w:t xml:space="preserve"> that - </w:t>
      </w:r>
    </w:p>
    <w:p w:rsidR="009B59D9" w:rsidRPr="009B59D9" w:rsidRDefault="005D0CE8" w:rsidP="005D0CE8">
      <w:pPr>
        <w:spacing w:after="100" w:line="240" w:lineRule="auto"/>
        <w:ind w:left="1440" w:right="1440"/>
        <w:jc w:val="both"/>
        <w:rPr>
          <w:rFonts w:ascii="Tahoma" w:eastAsia="Times New Roman" w:hAnsi="Tahoma" w:cs="Tahoma"/>
          <w:bCs/>
          <w:color w:val="000000"/>
          <w:sz w:val="24"/>
          <w:szCs w:val="24"/>
          <w:lang w:val="en-JM" w:eastAsia="en-JM"/>
        </w:rPr>
      </w:pPr>
      <w:r w:rsidRPr="005D0CE8">
        <w:rPr>
          <w:rFonts w:ascii="Tahoma" w:eastAsia="Times New Roman" w:hAnsi="Tahoma" w:cs="Tahoma"/>
          <w:bCs/>
          <w:color w:val="000000"/>
          <w:sz w:val="24"/>
          <w:szCs w:val="24"/>
          <w:lang w:val="en-JM" w:eastAsia="en-JM"/>
        </w:rPr>
        <w:t>“</w:t>
      </w:r>
      <w:r w:rsidR="009B59D9" w:rsidRPr="009B59D9">
        <w:rPr>
          <w:rFonts w:ascii="Tahoma" w:eastAsia="Times New Roman" w:hAnsi="Tahoma" w:cs="Tahoma"/>
          <w:bCs/>
          <w:color w:val="000000"/>
          <w:sz w:val="24"/>
          <w:szCs w:val="24"/>
          <w:lang w:val="en-JM" w:eastAsia="en-JM"/>
        </w:rPr>
        <w:t xml:space="preserve">Where there is a clash of credibility between the prosecution and the defendant in the sense that the truthfulness and honesty of the witnesses on either side is directly in issue, the need for a good character direction is more acute. But where no such direct conflict is involved, it </w:t>
      </w:r>
      <w:r w:rsidR="009B59D9" w:rsidRPr="009B59D9">
        <w:rPr>
          <w:rFonts w:ascii="Tahoma" w:eastAsia="Times New Roman" w:hAnsi="Tahoma" w:cs="Tahoma"/>
          <w:bCs/>
          <w:color w:val="000000"/>
          <w:sz w:val="24"/>
          <w:szCs w:val="24"/>
          <w:lang w:val="en-JM" w:eastAsia="en-JM"/>
        </w:rPr>
        <w:lastRenderedPageBreak/>
        <w:t>is appropriate to view the question of the need for such a direction on a broader plane and with a close eye on the significance of the other evidence in the case.</w:t>
      </w:r>
      <w:r w:rsidRPr="005D0CE8">
        <w:rPr>
          <w:rFonts w:ascii="Tahoma" w:eastAsia="Times New Roman" w:hAnsi="Tahoma" w:cs="Tahoma"/>
          <w:bCs/>
          <w:color w:val="000000"/>
          <w:sz w:val="24"/>
          <w:szCs w:val="24"/>
          <w:lang w:val="en-JM" w:eastAsia="en-JM"/>
        </w:rPr>
        <w:t>”</w:t>
      </w:r>
    </w:p>
    <w:p w:rsidR="005D0CE8" w:rsidRDefault="005D0CE8" w:rsidP="005D0CE8">
      <w:pPr>
        <w:spacing w:after="100" w:afterAutospacing="1" w:line="240" w:lineRule="auto"/>
        <w:jc w:val="both"/>
        <w:rPr>
          <w:rFonts w:ascii="Tahoma" w:hAnsi="Tahoma" w:cs="Tahoma"/>
          <w:bCs/>
          <w:color w:val="000000"/>
          <w:sz w:val="24"/>
          <w:szCs w:val="24"/>
        </w:rPr>
      </w:pPr>
    </w:p>
    <w:p w:rsidR="00142F1E" w:rsidRDefault="00F76A0B" w:rsidP="00142F1E">
      <w:pPr>
        <w:spacing w:before="100" w:beforeAutospacing="1" w:after="100" w:afterAutospacing="1" w:line="480" w:lineRule="auto"/>
        <w:jc w:val="both"/>
        <w:rPr>
          <w:rFonts w:ascii="Tahoma" w:eastAsia="Times New Roman" w:hAnsi="Tahoma" w:cs="Tahoma"/>
          <w:bCs/>
          <w:color w:val="000000"/>
          <w:sz w:val="24"/>
          <w:szCs w:val="24"/>
          <w:lang w:val="en-JM" w:eastAsia="en-JM"/>
        </w:rPr>
      </w:pPr>
      <w:r>
        <w:rPr>
          <w:rFonts w:ascii="Tahoma" w:hAnsi="Tahoma" w:cs="Tahoma"/>
          <w:bCs/>
          <w:color w:val="000000"/>
          <w:sz w:val="24"/>
          <w:szCs w:val="24"/>
        </w:rPr>
        <w:t>3</w:t>
      </w:r>
      <w:r w:rsidR="005D0CE8">
        <w:rPr>
          <w:rFonts w:ascii="Tahoma" w:hAnsi="Tahoma" w:cs="Tahoma"/>
          <w:bCs/>
          <w:color w:val="000000"/>
          <w:sz w:val="24"/>
          <w:szCs w:val="24"/>
        </w:rPr>
        <w:t>2.   Thus</w:t>
      </w:r>
      <w:r w:rsidR="00142F1E" w:rsidRPr="00142F1E">
        <w:rPr>
          <w:rFonts w:ascii="Tahoma" w:hAnsi="Tahoma" w:cs="Tahoma"/>
          <w:bCs/>
          <w:color w:val="000000"/>
          <w:sz w:val="24"/>
          <w:szCs w:val="24"/>
        </w:rPr>
        <w:t xml:space="preserve"> in </w:t>
      </w:r>
      <w:r w:rsidR="00142F1E" w:rsidRPr="00142F1E">
        <w:rPr>
          <w:rFonts w:ascii="Tahoma" w:hAnsi="Tahoma" w:cs="Tahoma"/>
          <w:b/>
          <w:bCs/>
          <w:color w:val="000000"/>
          <w:sz w:val="24"/>
          <w:szCs w:val="24"/>
        </w:rPr>
        <w:t xml:space="preserve">Campbell </w:t>
      </w:r>
      <w:r w:rsidR="00142F1E" w:rsidRPr="00142F1E">
        <w:rPr>
          <w:rFonts w:ascii="Tahoma" w:hAnsi="Tahoma" w:cs="Tahoma"/>
          <w:bCs/>
          <w:color w:val="000000"/>
          <w:sz w:val="24"/>
          <w:szCs w:val="24"/>
        </w:rPr>
        <w:t xml:space="preserve">itself, </w:t>
      </w:r>
      <w:bookmarkStart w:id="18" w:name="para45"/>
      <w:r w:rsidR="00142F1E">
        <w:rPr>
          <w:rFonts w:ascii="Tahoma" w:hAnsi="Tahoma" w:cs="Tahoma"/>
          <w:bCs/>
          <w:color w:val="000000"/>
          <w:sz w:val="24"/>
          <w:szCs w:val="24"/>
        </w:rPr>
        <w:t>in which the appellant gave sworn evidence denying involvement in the offence, the Board considered</w:t>
      </w:r>
      <w:r w:rsidR="00142F1E">
        <w:rPr>
          <w:rStyle w:val="FootnoteReference"/>
          <w:rFonts w:ascii="Tahoma" w:hAnsi="Tahoma" w:cs="Tahoma"/>
          <w:bCs/>
          <w:color w:val="000000"/>
          <w:sz w:val="24"/>
          <w:szCs w:val="24"/>
        </w:rPr>
        <w:footnoteReference w:id="56"/>
      </w:r>
      <w:r w:rsidR="00142F1E">
        <w:rPr>
          <w:rFonts w:ascii="Tahoma" w:hAnsi="Tahoma" w:cs="Tahoma"/>
          <w:bCs/>
          <w:color w:val="000000"/>
          <w:sz w:val="24"/>
          <w:szCs w:val="24"/>
        </w:rPr>
        <w:t xml:space="preserve"> that </w:t>
      </w:r>
      <w:r w:rsidR="00142F1E" w:rsidRPr="00142F1E">
        <w:rPr>
          <w:rFonts w:ascii="Tahoma" w:eastAsia="Times New Roman" w:hAnsi="Tahoma" w:cs="Tahoma"/>
          <w:bCs/>
          <w:color w:val="000000"/>
          <w:sz w:val="24"/>
          <w:szCs w:val="24"/>
          <w:lang w:val="en-JM" w:eastAsia="en-JM"/>
        </w:rPr>
        <w:t>the credibility and reliability of identification</w:t>
      </w:r>
      <w:r w:rsidR="00142F1E">
        <w:rPr>
          <w:rFonts w:ascii="Tahoma" w:eastAsia="Times New Roman" w:hAnsi="Tahoma" w:cs="Tahoma"/>
          <w:bCs/>
          <w:color w:val="000000"/>
          <w:sz w:val="24"/>
          <w:szCs w:val="24"/>
          <w:lang w:val="en-JM" w:eastAsia="en-JM"/>
        </w:rPr>
        <w:t xml:space="preserve"> witness’ evidence</w:t>
      </w:r>
      <w:r w:rsidR="00142F1E" w:rsidRPr="00142F1E">
        <w:rPr>
          <w:rFonts w:ascii="Tahoma" w:eastAsia="Times New Roman" w:hAnsi="Tahoma" w:cs="Tahoma"/>
          <w:bCs/>
          <w:color w:val="000000"/>
          <w:sz w:val="24"/>
          <w:szCs w:val="24"/>
          <w:lang w:val="en-JM" w:eastAsia="en-JM"/>
        </w:rPr>
        <w:t xml:space="preserve"> </w:t>
      </w:r>
      <w:r w:rsidR="00142F1E">
        <w:rPr>
          <w:rFonts w:ascii="Tahoma" w:eastAsia="Times New Roman" w:hAnsi="Tahoma" w:cs="Tahoma"/>
          <w:bCs/>
          <w:color w:val="000000"/>
          <w:sz w:val="24"/>
          <w:szCs w:val="24"/>
          <w:lang w:val="en-JM" w:eastAsia="en-JM"/>
        </w:rPr>
        <w:t>“</w:t>
      </w:r>
      <w:r w:rsidR="00142F1E" w:rsidRPr="00142F1E">
        <w:rPr>
          <w:rFonts w:ascii="Tahoma" w:eastAsia="Times New Roman" w:hAnsi="Tahoma" w:cs="Tahoma"/>
          <w:bCs/>
          <w:color w:val="000000"/>
          <w:sz w:val="24"/>
          <w:szCs w:val="24"/>
          <w:lang w:val="en-JM" w:eastAsia="en-JM"/>
        </w:rPr>
        <w:t>stood effectively alone against the credibility of the appellant's denial of any involvement</w:t>
      </w:r>
      <w:r w:rsidR="00142F1E">
        <w:rPr>
          <w:rFonts w:ascii="Tahoma" w:eastAsia="Times New Roman" w:hAnsi="Tahoma" w:cs="Tahoma"/>
          <w:bCs/>
          <w:color w:val="000000"/>
          <w:sz w:val="24"/>
          <w:szCs w:val="24"/>
          <w:lang w:val="en-JM" w:eastAsia="en-JM"/>
        </w:rPr>
        <w:t>”</w:t>
      </w:r>
      <w:r w:rsidR="00142F1E" w:rsidRPr="00142F1E">
        <w:rPr>
          <w:rFonts w:ascii="Tahoma" w:eastAsia="Times New Roman" w:hAnsi="Tahoma" w:cs="Tahoma"/>
          <w:bCs/>
          <w:color w:val="000000"/>
          <w:sz w:val="24"/>
          <w:szCs w:val="24"/>
          <w:lang w:val="en-JM" w:eastAsia="en-JM"/>
        </w:rPr>
        <w:t xml:space="preserve">. </w:t>
      </w:r>
      <w:r w:rsidR="00142F1E">
        <w:rPr>
          <w:rFonts w:ascii="Tahoma" w:eastAsia="Times New Roman" w:hAnsi="Tahoma" w:cs="Tahoma"/>
          <w:bCs/>
          <w:color w:val="000000"/>
          <w:sz w:val="24"/>
          <w:szCs w:val="24"/>
          <w:lang w:val="en-JM" w:eastAsia="en-JM"/>
        </w:rPr>
        <w:t>In these circumstances, “[t]</w:t>
      </w:r>
      <w:r w:rsidR="00142F1E" w:rsidRPr="00142F1E">
        <w:rPr>
          <w:rFonts w:ascii="Tahoma" w:eastAsia="Times New Roman" w:hAnsi="Tahoma" w:cs="Tahoma"/>
          <w:bCs/>
          <w:color w:val="000000"/>
          <w:sz w:val="24"/>
          <w:szCs w:val="24"/>
          <w:lang w:val="en-JM" w:eastAsia="en-JM"/>
        </w:rPr>
        <w:t xml:space="preserve">he absence of a good character direction </w:t>
      </w:r>
      <w:r w:rsidR="00142F1E">
        <w:rPr>
          <w:rFonts w:ascii="Tahoma" w:eastAsia="Times New Roman" w:hAnsi="Tahoma" w:cs="Tahoma"/>
          <w:bCs/>
          <w:color w:val="000000"/>
          <w:sz w:val="24"/>
          <w:szCs w:val="24"/>
          <w:lang w:val="en-JM" w:eastAsia="en-JM"/>
        </w:rPr>
        <w:t>therefore</w:t>
      </w:r>
      <w:r w:rsidR="00142F1E" w:rsidRPr="00142F1E">
        <w:rPr>
          <w:rFonts w:ascii="Tahoma" w:eastAsia="Times New Roman" w:hAnsi="Tahoma" w:cs="Tahoma"/>
          <w:bCs/>
          <w:color w:val="000000"/>
          <w:sz w:val="24"/>
          <w:szCs w:val="24"/>
          <w:lang w:val="en-JM" w:eastAsia="en-JM"/>
        </w:rPr>
        <w:t xml:space="preserve"> deprived him of a benefit in precisely the kind of case where such a direction must be regarded as being of greatest potential significance</w:t>
      </w:r>
      <w:r w:rsidR="00142F1E">
        <w:rPr>
          <w:rFonts w:ascii="Tahoma" w:eastAsia="Times New Roman" w:hAnsi="Tahoma" w:cs="Tahoma"/>
          <w:bCs/>
          <w:color w:val="000000"/>
          <w:sz w:val="24"/>
          <w:szCs w:val="24"/>
          <w:lang w:val="en-JM" w:eastAsia="en-JM"/>
        </w:rPr>
        <w:t>”</w:t>
      </w:r>
      <w:r w:rsidR="00E64D71">
        <w:rPr>
          <w:rFonts w:ascii="Tahoma" w:eastAsia="Times New Roman" w:hAnsi="Tahoma" w:cs="Tahoma"/>
          <w:bCs/>
          <w:color w:val="000000"/>
          <w:sz w:val="24"/>
          <w:szCs w:val="24"/>
          <w:lang w:val="en-JM" w:eastAsia="en-JM"/>
        </w:rPr>
        <w:t>.</w:t>
      </w:r>
      <w:r w:rsidR="00142F1E">
        <w:rPr>
          <w:rFonts w:ascii="Tahoma" w:eastAsia="Times New Roman" w:hAnsi="Tahoma" w:cs="Tahoma"/>
          <w:bCs/>
          <w:color w:val="000000"/>
          <w:sz w:val="24"/>
          <w:szCs w:val="24"/>
          <w:lang w:val="en-JM" w:eastAsia="en-JM"/>
        </w:rPr>
        <w:t xml:space="preserve"> In the result, the </w:t>
      </w:r>
      <w:r w:rsidR="00142F1E" w:rsidRPr="00142F1E">
        <w:rPr>
          <w:rFonts w:ascii="Tahoma" w:eastAsia="Times New Roman" w:hAnsi="Tahoma" w:cs="Tahoma"/>
          <w:bCs/>
          <w:color w:val="000000"/>
          <w:sz w:val="24"/>
          <w:szCs w:val="24"/>
          <w:lang w:val="en-JM" w:eastAsia="en-JM"/>
        </w:rPr>
        <w:t xml:space="preserve">Board </w:t>
      </w:r>
      <w:r w:rsidR="00142F1E">
        <w:rPr>
          <w:rFonts w:ascii="Tahoma" w:eastAsia="Times New Roman" w:hAnsi="Tahoma" w:cs="Tahoma"/>
          <w:bCs/>
          <w:color w:val="000000"/>
          <w:sz w:val="24"/>
          <w:szCs w:val="24"/>
          <w:lang w:val="en-JM" w:eastAsia="en-JM"/>
        </w:rPr>
        <w:t>felt unable to say that the</w:t>
      </w:r>
      <w:r w:rsidR="00142F1E" w:rsidRPr="00142F1E">
        <w:rPr>
          <w:rFonts w:ascii="Tahoma" w:eastAsia="Times New Roman" w:hAnsi="Tahoma" w:cs="Tahoma"/>
          <w:bCs/>
          <w:color w:val="000000"/>
          <w:sz w:val="24"/>
          <w:szCs w:val="24"/>
          <w:lang w:val="en-JM" w:eastAsia="en-JM"/>
        </w:rPr>
        <w:t xml:space="preserve"> absence of a good character direction in this case </w:t>
      </w:r>
      <w:r w:rsidR="00142F1E">
        <w:rPr>
          <w:rFonts w:ascii="Tahoma" w:eastAsia="Times New Roman" w:hAnsi="Tahoma" w:cs="Tahoma"/>
          <w:bCs/>
          <w:color w:val="000000"/>
          <w:sz w:val="24"/>
          <w:szCs w:val="24"/>
          <w:lang w:val="en-JM" w:eastAsia="en-JM"/>
        </w:rPr>
        <w:t>w</w:t>
      </w:r>
      <w:r w:rsidR="00142F1E" w:rsidRPr="00142F1E">
        <w:rPr>
          <w:rFonts w:ascii="Tahoma" w:eastAsia="Times New Roman" w:hAnsi="Tahoma" w:cs="Tahoma"/>
          <w:bCs/>
          <w:color w:val="000000"/>
          <w:sz w:val="24"/>
          <w:szCs w:val="24"/>
          <w:lang w:val="en-JM" w:eastAsia="en-JM"/>
        </w:rPr>
        <w:t xml:space="preserve">as irrelevant to the safety of the verdict and </w:t>
      </w:r>
      <w:r w:rsidR="00142F1E">
        <w:rPr>
          <w:rFonts w:ascii="Tahoma" w:eastAsia="Times New Roman" w:hAnsi="Tahoma" w:cs="Tahoma"/>
          <w:bCs/>
          <w:color w:val="000000"/>
          <w:sz w:val="24"/>
          <w:szCs w:val="24"/>
          <w:lang w:val="en-JM" w:eastAsia="en-JM"/>
        </w:rPr>
        <w:t xml:space="preserve">accordingly ordered that the </w:t>
      </w:r>
      <w:r w:rsidR="00142F1E" w:rsidRPr="00142F1E">
        <w:rPr>
          <w:rFonts w:ascii="Tahoma" w:eastAsia="Times New Roman" w:hAnsi="Tahoma" w:cs="Tahoma"/>
          <w:bCs/>
          <w:color w:val="000000"/>
          <w:sz w:val="24"/>
          <w:szCs w:val="24"/>
          <w:lang w:val="en-JM" w:eastAsia="en-JM"/>
        </w:rPr>
        <w:t>case should be remitted to the Court of Appeal with a direction to quash the jury's verdict and to determine whether or not to order a re-trial.</w:t>
      </w:r>
      <w:bookmarkEnd w:id="18"/>
    </w:p>
    <w:p w:rsidR="00595334" w:rsidRPr="00AD1764" w:rsidRDefault="00BD2B13" w:rsidP="00AD1764">
      <w:pPr>
        <w:shd w:val="clear" w:color="auto" w:fill="FFFFFF"/>
        <w:spacing w:before="100" w:beforeAutospacing="1" w:after="100" w:afterAutospacing="1" w:line="480" w:lineRule="auto"/>
        <w:jc w:val="both"/>
        <w:rPr>
          <w:rFonts w:ascii="Tahoma" w:eastAsia="Times New Roman" w:hAnsi="Tahoma" w:cs="Tahoma"/>
          <w:color w:val="000000"/>
          <w:sz w:val="24"/>
          <w:szCs w:val="24"/>
          <w:lang w:val="en-JM" w:eastAsia="en-JM"/>
        </w:rPr>
      </w:pPr>
      <w:r>
        <w:rPr>
          <w:rFonts w:ascii="Tahoma" w:eastAsia="Times New Roman" w:hAnsi="Tahoma" w:cs="Tahoma"/>
          <w:bCs/>
          <w:color w:val="000000"/>
          <w:sz w:val="24"/>
          <w:szCs w:val="24"/>
          <w:lang w:val="en-JM" w:eastAsia="en-JM"/>
        </w:rPr>
        <w:t>3</w:t>
      </w:r>
      <w:r w:rsidR="00F76A0B">
        <w:rPr>
          <w:rFonts w:ascii="Tahoma" w:eastAsia="Times New Roman" w:hAnsi="Tahoma" w:cs="Tahoma"/>
          <w:bCs/>
          <w:color w:val="000000"/>
          <w:sz w:val="24"/>
          <w:szCs w:val="24"/>
          <w:lang w:val="en-JM" w:eastAsia="en-JM"/>
        </w:rPr>
        <w:t>3</w:t>
      </w:r>
      <w:r w:rsidR="00142F1E" w:rsidRPr="00AD1764">
        <w:rPr>
          <w:rFonts w:ascii="Tahoma" w:eastAsia="Times New Roman" w:hAnsi="Tahoma" w:cs="Tahoma"/>
          <w:bCs/>
          <w:color w:val="000000"/>
          <w:sz w:val="24"/>
          <w:szCs w:val="24"/>
          <w:lang w:val="en-JM" w:eastAsia="en-JM"/>
        </w:rPr>
        <w:t xml:space="preserve">.   As </w:t>
      </w:r>
      <w:r w:rsidR="00AD1764">
        <w:rPr>
          <w:rFonts w:ascii="Tahoma" w:eastAsia="Times New Roman" w:hAnsi="Tahoma" w:cs="Tahoma"/>
          <w:bCs/>
          <w:color w:val="000000"/>
          <w:sz w:val="24"/>
          <w:szCs w:val="24"/>
          <w:lang w:val="en-JM" w:eastAsia="en-JM"/>
        </w:rPr>
        <w:t>will have been observed</w:t>
      </w:r>
      <w:r w:rsidR="00142F1E" w:rsidRPr="00AD1764">
        <w:rPr>
          <w:rFonts w:ascii="Tahoma" w:eastAsia="Times New Roman" w:hAnsi="Tahoma" w:cs="Tahoma"/>
          <w:bCs/>
          <w:color w:val="000000"/>
          <w:sz w:val="24"/>
          <w:szCs w:val="24"/>
          <w:lang w:val="en-JM" w:eastAsia="en-JM"/>
        </w:rPr>
        <w:t>, m</w:t>
      </w:r>
      <w:r w:rsidR="00A41C00" w:rsidRPr="00AD1764">
        <w:rPr>
          <w:rFonts w:ascii="Tahoma" w:eastAsia="Times New Roman" w:hAnsi="Tahoma" w:cs="Tahoma"/>
          <w:bCs/>
          <w:color w:val="000000"/>
          <w:sz w:val="24"/>
          <w:szCs w:val="24"/>
          <w:lang w:val="en-JM" w:eastAsia="en-JM"/>
        </w:rPr>
        <w:t>any</w:t>
      </w:r>
      <w:r w:rsidR="00142F1E" w:rsidRPr="00AD1764">
        <w:rPr>
          <w:rFonts w:ascii="Tahoma" w:eastAsia="Times New Roman" w:hAnsi="Tahoma" w:cs="Tahoma"/>
          <w:bCs/>
          <w:color w:val="000000"/>
          <w:sz w:val="24"/>
          <w:szCs w:val="24"/>
          <w:lang w:val="en-JM" w:eastAsia="en-JM"/>
        </w:rPr>
        <w:t xml:space="preserve"> of the cases </w:t>
      </w:r>
      <w:r w:rsidR="0094522F">
        <w:rPr>
          <w:rFonts w:ascii="Tahoma" w:eastAsia="Times New Roman" w:hAnsi="Tahoma" w:cs="Tahoma"/>
          <w:bCs/>
          <w:color w:val="000000"/>
          <w:sz w:val="24"/>
          <w:szCs w:val="24"/>
          <w:lang w:val="en-JM" w:eastAsia="en-JM"/>
        </w:rPr>
        <w:t>in which there has been</w:t>
      </w:r>
      <w:r w:rsidR="00142F1E" w:rsidRPr="00AD1764">
        <w:rPr>
          <w:rFonts w:ascii="Tahoma" w:eastAsia="Times New Roman" w:hAnsi="Tahoma" w:cs="Tahoma"/>
          <w:bCs/>
          <w:color w:val="000000"/>
          <w:sz w:val="24"/>
          <w:szCs w:val="24"/>
          <w:lang w:val="en-JM" w:eastAsia="en-JM"/>
        </w:rPr>
        <w:t xml:space="preserve"> an omission by the judge to give a good character direction have arisen out of the failure of counsel to lay the necessary groundwork during the trial. </w:t>
      </w:r>
      <w:r w:rsidR="00A41C00" w:rsidRPr="00AD1764">
        <w:rPr>
          <w:rFonts w:ascii="Tahoma" w:eastAsia="Times New Roman" w:hAnsi="Tahoma" w:cs="Tahoma"/>
          <w:bCs/>
          <w:color w:val="000000"/>
          <w:sz w:val="24"/>
          <w:szCs w:val="24"/>
          <w:lang w:val="en-JM" w:eastAsia="en-JM"/>
        </w:rPr>
        <w:t xml:space="preserve">As was </w:t>
      </w:r>
      <w:r w:rsidR="00595334" w:rsidRPr="00AD1764">
        <w:rPr>
          <w:rFonts w:ascii="Tahoma" w:eastAsia="Times New Roman" w:hAnsi="Tahoma" w:cs="Tahoma"/>
          <w:bCs/>
          <w:color w:val="000000"/>
          <w:sz w:val="24"/>
          <w:szCs w:val="24"/>
          <w:lang w:val="en-JM" w:eastAsia="en-JM"/>
        </w:rPr>
        <w:t>said</w:t>
      </w:r>
      <w:r w:rsidR="00A41C00" w:rsidRPr="00AD1764">
        <w:rPr>
          <w:rFonts w:ascii="Tahoma" w:eastAsia="Times New Roman" w:hAnsi="Tahoma" w:cs="Tahoma"/>
          <w:bCs/>
          <w:color w:val="000000"/>
          <w:sz w:val="24"/>
          <w:szCs w:val="24"/>
          <w:lang w:val="en-JM" w:eastAsia="en-JM"/>
        </w:rPr>
        <w:t xml:space="preserve"> in </w:t>
      </w:r>
      <w:r w:rsidR="00A41C00" w:rsidRPr="00AD1764">
        <w:rPr>
          <w:rFonts w:ascii="Tahoma" w:eastAsia="Times New Roman" w:hAnsi="Tahoma" w:cs="Tahoma"/>
          <w:b/>
          <w:bCs/>
          <w:color w:val="000000"/>
          <w:sz w:val="24"/>
          <w:szCs w:val="24"/>
          <w:lang w:val="en-JM" w:eastAsia="en-JM"/>
        </w:rPr>
        <w:t>Teeluck</w:t>
      </w:r>
      <w:r w:rsidR="00A41C00" w:rsidRPr="00AD1764">
        <w:rPr>
          <w:rFonts w:ascii="Tahoma" w:eastAsia="Times New Roman" w:hAnsi="Tahoma" w:cs="Tahoma"/>
          <w:bCs/>
          <w:color w:val="000000"/>
          <w:sz w:val="24"/>
          <w:szCs w:val="24"/>
          <w:lang w:val="en-JM" w:eastAsia="en-JM"/>
        </w:rPr>
        <w:t xml:space="preserve">, it is for the defendant, through his counsel, to raise his </w:t>
      </w:r>
      <w:r w:rsidR="00A41C00" w:rsidRPr="00AD1764">
        <w:rPr>
          <w:rFonts w:ascii="Tahoma" w:hAnsi="Tahoma" w:cs="Tahoma"/>
          <w:color w:val="000000"/>
          <w:sz w:val="24"/>
          <w:szCs w:val="24"/>
        </w:rPr>
        <w:t>good character “distinctly”, either by direct evidence from him or given on his behalf or by eliciting it in cross-examination of prosecution witnesses</w:t>
      </w:r>
      <w:r w:rsidR="00595334" w:rsidRPr="00AD1764">
        <w:rPr>
          <w:rFonts w:ascii="Tahoma" w:hAnsi="Tahoma" w:cs="Tahoma"/>
          <w:color w:val="000000"/>
          <w:sz w:val="24"/>
          <w:szCs w:val="24"/>
        </w:rPr>
        <w:t xml:space="preserve">. This was made clear in </w:t>
      </w:r>
      <w:r w:rsidR="00A41C00" w:rsidRPr="00AD1764">
        <w:rPr>
          <w:rFonts w:ascii="Tahoma" w:hAnsi="Tahoma" w:cs="Tahoma"/>
          <w:b/>
          <w:iCs/>
          <w:color w:val="000000"/>
          <w:sz w:val="24"/>
          <w:szCs w:val="24"/>
        </w:rPr>
        <w:t xml:space="preserve">Thompson v </w:t>
      </w:r>
      <w:r w:rsidR="00595334" w:rsidRPr="00AD1764">
        <w:rPr>
          <w:rFonts w:ascii="Tahoma" w:hAnsi="Tahoma" w:cs="Tahoma"/>
          <w:b/>
          <w:iCs/>
          <w:color w:val="000000"/>
          <w:sz w:val="24"/>
          <w:szCs w:val="24"/>
        </w:rPr>
        <w:t>R</w:t>
      </w:r>
      <w:r w:rsidR="00595334" w:rsidRPr="00AD1764">
        <w:rPr>
          <w:rStyle w:val="FootnoteReference"/>
          <w:rFonts w:ascii="Tahoma" w:hAnsi="Tahoma" w:cs="Tahoma"/>
          <w:iCs/>
          <w:color w:val="000000"/>
          <w:sz w:val="24"/>
          <w:szCs w:val="24"/>
        </w:rPr>
        <w:footnoteReference w:id="57"/>
      </w:r>
      <w:r w:rsidR="00595334" w:rsidRPr="00AD1764">
        <w:rPr>
          <w:rFonts w:ascii="Tahoma" w:hAnsi="Tahoma" w:cs="Tahoma"/>
          <w:iCs/>
          <w:color w:val="000000"/>
          <w:sz w:val="24"/>
          <w:szCs w:val="24"/>
        </w:rPr>
        <w:t>, an appeal fr</w:t>
      </w:r>
      <w:r>
        <w:rPr>
          <w:rFonts w:ascii="Tahoma" w:hAnsi="Tahoma" w:cs="Tahoma"/>
          <w:iCs/>
          <w:color w:val="000000"/>
          <w:sz w:val="24"/>
          <w:szCs w:val="24"/>
        </w:rPr>
        <w:t xml:space="preserve">om St Vincent &amp; The Grenadines and </w:t>
      </w:r>
      <w:r w:rsidR="00595334" w:rsidRPr="00AD1764">
        <w:rPr>
          <w:rFonts w:ascii="Tahoma" w:hAnsi="Tahoma" w:cs="Tahoma"/>
          <w:iCs/>
          <w:color w:val="000000"/>
          <w:sz w:val="24"/>
          <w:szCs w:val="24"/>
        </w:rPr>
        <w:t>one of the earlier cases dealing with the good character direction.</w:t>
      </w:r>
      <w:r w:rsidR="00A41C00" w:rsidRPr="00AD1764">
        <w:rPr>
          <w:rStyle w:val="apple-converted-space"/>
          <w:rFonts w:ascii="Tahoma" w:hAnsi="Tahoma" w:cs="Tahoma"/>
          <w:b/>
          <w:iCs/>
          <w:color w:val="000000"/>
          <w:sz w:val="24"/>
          <w:szCs w:val="24"/>
        </w:rPr>
        <w:t> </w:t>
      </w:r>
      <w:r w:rsidR="00595334" w:rsidRPr="00AD1764">
        <w:rPr>
          <w:rFonts w:ascii="Tahoma" w:eastAsia="Times New Roman" w:hAnsi="Tahoma" w:cs="Tahoma"/>
          <w:color w:val="000000"/>
          <w:spacing w:val="-3"/>
          <w:sz w:val="24"/>
          <w:szCs w:val="24"/>
          <w:lang w:val="en-JM" w:eastAsia="en-JM"/>
        </w:rPr>
        <w:t xml:space="preserve">In that case, no evidence was led at the trial in relation to the good character of </w:t>
      </w:r>
      <w:r w:rsidR="00595334" w:rsidRPr="00AD1764">
        <w:rPr>
          <w:rFonts w:ascii="Tahoma" w:eastAsia="Times New Roman" w:hAnsi="Tahoma" w:cs="Tahoma"/>
          <w:color w:val="000000"/>
          <w:spacing w:val="-3"/>
          <w:sz w:val="24"/>
          <w:szCs w:val="24"/>
          <w:lang w:val="en-JM" w:eastAsia="en-JM"/>
        </w:rPr>
        <w:lastRenderedPageBreak/>
        <w:t xml:space="preserve">the appellant, who had no previous convictions. In </w:t>
      </w:r>
      <w:r w:rsidR="00AD1764">
        <w:rPr>
          <w:rFonts w:ascii="Tahoma" w:eastAsia="Times New Roman" w:hAnsi="Tahoma" w:cs="Tahoma"/>
          <w:color w:val="000000"/>
          <w:spacing w:val="-3"/>
          <w:sz w:val="24"/>
          <w:szCs w:val="24"/>
          <w:lang w:val="en-JM" w:eastAsia="en-JM"/>
        </w:rPr>
        <w:t>the appellant’</w:t>
      </w:r>
      <w:r w:rsidR="00595334" w:rsidRPr="00AD1764">
        <w:rPr>
          <w:rFonts w:ascii="Tahoma" w:eastAsia="Times New Roman" w:hAnsi="Tahoma" w:cs="Tahoma"/>
          <w:color w:val="000000"/>
          <w:spacing w:val="-3"/>
          <w:sz w:val="24"/>
          <w:szCs w:val="24"/>
          <w:lang w:val="en-JM" w:eastAsia="en-JM"/>
        </w:rPr>
        <w:t xml:space="preserve">s written case to the Board, it was submitted that, notwithstanding that no evidence was led on this matter by the defence, the trial judge should (in the absence of the jury) have enquired whether or not the appellant had a good character, and on learning that he had, should have directed the jury that they should take </w:t>
      </w:r>
      <w:r w:rsidR="007C727C" w:rsidRPr="00AD1764">
        <w:rPr>
          <w:rFonts w:ascii="Tahoma" w:eastAsia="Times New Roman" w:hAnsi="Tahoma" w:cs="Tahoma"/>
          <w:color w:val="000000"/>
          <w:spacing w:val="-3"/>
          <w:sz w:val="24"/>
          <w:szCs w:val="24"/>
          <w:lang w:val="en-JM" w:eastAsia="en-JM"/>
        </w:rPr>
        <w:t>hi</w:t>
      </w:r>
      <w:r w:rsidR="00595334" w:rsidRPr="00AD1764">
        <w:rPr>
          <w:rFonts w:ascii="Tahoma" w:eastAsia="Times New Roman" w:hAnsi="Tahoma" w:cs="Tahoma"/>
          <w:color w:val="000000"/>
          <w:spacing w:val="-3"/>
          <w:sz w:val="24"/>
          <w:szCs w:val="24"/>
          <w:lang w:val="en-JM" w:eastAsia="en-JM"/>
        </w:rPr>
        <w:t>s good character into consideration in assessing both the truthfulness of his account to them and whether he was likely to have committed the offence.</w:t>
      </w:r>
      <w:r w:rsidR="007C727C" w:rsidRPr="00AD1764">
        <w:rPr>
          <w:rFonts w:ascii="Tahoma" w:eastAsia="Times New Roman" w:hAnsi="Tahoma" w:cs="Tahoma"/>
          <w:color w:val="000000"/>
          <w:spacing w:val="-3"/>
          <w:sz w:val="24"/>
          <w:szCs w:val="24"/>
          <w:lang w:val="en-JM" w:eastAsia="en-JM"/>
        </w:rPr>
        <w:t xml:space="preserve"> </w:t>
      </w:r>
      <w:bookmarkStart w:id="19" w:name="para72"/>
      <w:bookmarkEnd w:id="19"/>
      <w:r w:rsidR="00595334" w:rsidRPr="00595334">
        <w:rPr>
          <w:rFonts w:ascii="Tahoma" w:eastAsia="Times New Roman" w:hAnsi="Tahoma" w:cs="Tahoma"/>
          <w:color w:val="000000"/>
          <w:sz w:val="24"/>
          <w:szCs w:val="24"/>
          <w:lang w:val="en-JM" w:eastAsia="en-JM"/>
        </w:rPr>
        <w:t xml:space="preserve">It was </w:t>
      </w:r>
      <w:r w:rsidR="007C727C" w:rsidRPr="00AD1764">
        <w:rPr>
          <w:rFonts w:ascii="Tahoma" w:eastAsia="Times New Roman" w:hAnsi="Tahoma" w:cs="Tahoma"/>
          <w:color w:val="000000"/>
          <w:sz w:val="24"/>
          <w:szCs w:val="24"/>
          <w:lang w:val="en-JM" w:eastAsia="en-JM"/>
        </w:rPr>
        <w:t xml:space="preserve">further </w:t>
      </w:r>
      <w:r w:rsidR="00595334" w:rsidRPr="00595334">
        <w:rPr>
          <w:rFonts w:ascii="Tahoma" w:eastAsia="Times New Roman" w:hAnsi="Tahoma" w:cs="Tahoma"/>
          <w:color w:val="000000"/>
          <w:sz w:val="24"/>
          <w:szCs w:val="24"/>
          <w:lang w:val="en-JM" w:eastAsia="en-JM"/>
        </w:rPr>
        <w:t>submitted that this duty was analogous to the duty of the judge</w:t>
      </w:r>
      <w:r w:rsidR="007C727C" w:rsidRPr="00AD1764">
        <w:rPr>
          <w:rFonts w:ascii="Tahoma" w:eastAsia="Times New Roman" w:hAnsi="Tahoma" w:cs="Tahoma"/>
          <w:color w:val="000000"/>
          <w:sz w:val="24"/>
          <w:szCs w:val="24"/>
          <w:lang w:val="en-JM" w:eastAsia="en-JM"/>
        </w:rPr>
        <w:t>, particularly in a case of murder,</w:t>
      </w:r>
      <w:r w:rsidR="00595334" w:rsidRPr="00595334">
        <w:rPr>
          <w:rFonts w:ascii="Tahoma" w:eastAsia="Times New Roman" w:hAnsi="Tahoma" w:cs="Tahoma"/>
          <w:color w:val="000000"/>
          <w:sz w:val="24"/>
          <w:szCs w:val="24"/>
          <w:lang w:val="en-JM" w:eastAsia="en-JM"/>
        </w:rPr>
        <w:t xml:space="preserve"> to direct the jury to consider a</w:t>
      </w:r>
      <w:r w:rsidR="007C727C" w:rsidRPr="00AD1764">
        <w:rPr>
          <w:rFonts w:ascii="Tahoma" w:eastAsia="Times New Roman" w:hAnsi="Tahoma" w:cs="Tahoma"/>
          <w:color w:val="000000"/>
          <w:sz w:val="24"/>
          <w:szCs w:val="24"/>
          <w:lang w:val="en-JM" w:eastAsia="en-JM"/>
        </w:rPr>
        <w:t>ll</w:t>
      </w:r>
      <w:r w:rsidR="00595334" w:rsidRPr="00595334">
        <w:rPr>
          <w:rFonts w:ascii="Tahoma" w:eastAsia="Times New Roman" w:hAnsi="Tahoma" w:cs="Tahoma"/>
          <w:color w:val="000000"/>
          <w:sz w:val="24"/>
          <w:szCs w:val="24"/>
          <w:lang w:val="en-JM" w:eastAsia="en-JM"/>
        </w:rPr>
        <w:t xml:space="preserve"> possible defence</w:t>
      </w:r>
      <w:r w:rsidR="007C727C" w:rsidRPr="00AD1764">
        <w:rPr>
          <w:rFonts w:ascii="Tahoma" w:eastAsia="Times New Roman" w:hAnsi="Tahoma" w:cs="Tahoma"/>
          <w:color w:val="000000"/>
          <w:sz w:val="24"/>
          <w:szCs w:val="24"/>
          <w:lang w:val="en-JM" w:eastAsia="en-JM"/>
        </w:rPr>
        <w:t>s</w:t>
      </w:r>
      <w:r w:rsidR="00595334" w:rsidRPr="00595334">
        <w:rPr>
          <w:rFonts w:ascii="Tahoma" w:eastAsia="Times New Roman" w:hAnsi="Tahoma" w:cs="Tahoma"/>
          <w:color w:val="000000"/>
          <w:sz w:val="24"/>
          <w:szCs w:val="24"/>
          <w:lang w:val="en-JM" w:eastAsia="en-JM"/>
        </w:rPr>
        <w:t xml:space="preserve"> arising on the evidence</w:t>
      </w:r>
      <w:r w:rsidR="007C727C" w:rsidRPr="00AD1764">
        <w:rPr>
          <w:rFonts w:ascii="Tahoma" w:eastAsia="Times New Roman" w:hAnsi="Tahoma" w:cs="Tahoma"/>
          <w:color w:val="000000"/>
          <w:sz w:val="24"/>
          <w:szCs w:val="24"/>
          <w:lang w:val="en-JM" w:eastAsia="en-JM"/>
        </w:rPr>
        <w:t xml:space="preserve">, whether relied on by </w:t>
      </w:r>
      <w:r w:rsidR="00595334" w:rsidRPr="00595334">
        <w:rPr>
          <w:rFonts w:ascii="Tahoma" w:eastAsia="Times New Roman" w:hAnsi="Tahoma" w:cs="Tahoma"/>
          <w:color w:val="000000"/>
          <w:sz w:val="24"/>
          <w:szCs w:val="24"/>
          <w:lang w:val="en-JM" w:eastAsia="en-JM"/>
        </w:rPr>
        <w:t xml:space="preserve">defence counsel </w:t>
      </w:r>
      <w:r w:rsidR="007C727C" w:rsidRPr="00AD1764">
        <w:rPr>
          <w:rFonts w:ascii="Tahoma" w:eastAsia="Times New Roman" w:hAnsi="Tahoma" w:cs="Tahoma"/>
          <w:color w:val="000000"/>
          <w:sz w:val="24"/>
          <w:szCs w:val="24"/>
          <w:lang w:val="en-JM" w:eastAsia="en-JM"/>
        </w:rPr>
        <w:t xml:space="preserve">or not. </w:t>
      </w:r>
    </w:p>
    <w:p w:rsidR="00AD1764" w:rsidRPr="00AD1764" w:rsidRDefault="00BD2B13" w:rsidP="00AD1764">
      <w:pPr>
        <w:shd w:val="clear" w:color="auto" w:fill="FFFFFF"/>
        <w:spacing w:before="100" w:beforeAutospacing="1" w:after="100" w:afterAutospacing="1" w:line="480" w:lineRule="auto"/>
        <w:jc w:val="both"/>
        <w:rPr>
          <w:rFonts w:ascii="Tahoma" w:eastAsia="Times New Roman" w:hAnsi="Tahoma" w:cs="Tahoma"/>
          <w:color w:val="000000"/>
          <w:sz w:val="24"/>
          <w:szCs w:val="24"/>
          <w:lang w:val="en-JM" w:eastAsia="en-JM"/>
        </w:rPr>
      </w:pPr>
      <w:r>
        <w:rPr>
          <w:rFonts w:ascii="Tahoma" w:eastAsia="Times New Roman" w:hAnsi="Tahoma" w:cs="Tahoma"/>
          <w:color w:val="000000"/>
          <w:sz w:val="24"/>
          <w:szCs w:val="24"/>
          <w:lang w:val="en-JM" w:eastAsia="en-JM"/>
        </w:rPr>
        <w:t>3</w:t>
      </w:r>
      <w:r w:rsidR="0094522F">
        <w:rPr>
          <w:rFonts w:ascii="Tahoma" w:eastAsia="Times New Roman" w:hAnsi="Tahoma" w:cs="Tahoma"/>
          <w:color w:val="000000"/>
          <w:sz w:val="24"/>
          <w:szCs w:val="24"/>
          <w:lang w:val="en-JM" w:eastAsia="en-JM"/>
        </w:rPr>
        <w:t>4</w:t>
      </w:r>
      <w:r w:rsidR="007C727C" w:rsidRPr="00AD1764">
        <w:rPr>
          <w:rFonts w:ascii="Tahoma" w:eastAsia="Times New Roman" w:hAnsi="Tahoma" w:cs="Tahoma"/>
          <w:color w:val="000000"/>
          <w:sz w:val="24"/>
          <w:szCs w:val="24"/>
          <w:lang w:val="en-JM" w:eastAsia="en-JM"/>
        </w:rPr>
        <w:t>.   As it turned out,</w:t>
      </w:r>
      <w:bookmarkStart w:id="20" w:name="para73"/>
      <w:bookmarkEnd w:id="20"/>
      <w:r w:rsidR="00595334" w:rsidRPr="00595334">
        <w:rPr>
          <w:rFonts w:ascii="Tahoma" w:eastAsia="Times New Roman" w:hAnsi="Tahoma" w:cs="Tahoma"/>
          <w:color w:val="000000"/>
          <w:sz w:val="24"/>
          <w:szCs w:val="24"/>
          <w:lang w:val="en-JM" w:eastAsia="en-JM"/>
        </w:rPr>
        <w:t xml:space="preserve"> unknown to counsel who had prepared the appellant's written case, the appellant had one previous conviction</w:t>
      </w:r>
      <w:r w:rsidR="007C727C" w:rsidRPr="00AD1764">
        <w:rPr>
          <w:rFonts w:ascii="Tahoma" w:eastAsia="Times New Roman" w:hAnsi="Tahoma" w:cs="Tahoma"/>
          <w:color w:val="000000"/>
          <w:sz w:val="24"/>
          <w:szCs w:val="24"/>
          <w:lang w:val="en-JM" w:eastAsia="en-JM"/>
        </w:rPr>
        <w:t>, for which he had been reprimanded and discharged</w:t>
      </w:r>
      <w:r w:rsidR="00AD1764">
        <w:rPr>
          <w:rFonts w:ascii="Tahoma" w:eastAsia="Times New Roman" w:hAnsi="Tahoma" w:cs="Tahoma"/>
          <w:color w:val="000000"/>
          <w:sz w:val="24"/>
          <w:szCs w:val="24"/>
          <w:lang w:val="en-JM" w:eastAsia="en-JM"/>
        </w:rPr>
        <w:t xml:space="preserve"> </w:t>
      </w:r>
      <w:r w:rsidR="00AD1764" w:rsidRPr="00AD1764">
        <w:rPr>
          <w:rFonts w:ascii="Tahoma" w:eastAsia="Times New Roman" w:hAnsi="Tahoma" w:cs="Tahoma"/>
          <w:color w:val="000000"/>
          <w:sz w:val="24"/>
          <w:szCs w:val="24"/>
          <w:lang w:val="en-JM" w:eastAsia="en-JM"/>
        </w:rPr>
        <w:t>in the magistrate’s court</w:t>
      </w:r>
      <w:r w:rsidR="007C727C" w:rsidRPr="00AD1764">
        <w:rPr>
          <w:rFonts w:ascii="Tahoma" w:eastAsia="Times New Roman" w:hAnsi="Tahoma" w:cs="Tahoma"/>
          <w:color w:val="000000"/>
          <w:sz w:val="24"/>
          <w:szCs w:val="24"/>
          <w:lang w:val="en-JM" w:eastAsia="en-JM"/>
        </w:rPr>
        <w:t xml:space="preserve">, </w:t>
      </w:r>
      <w:r w:rsidR="00595334" w:rsidRPr="00595334">
        <w:rPr>
          <w:rFonts w:ascii="Tahoma" w:eastAsia="Times New Roman" w:hAnsi="Tahoma" w:cs="Tahoma"/>
          <w:color w:val="000000"/>
          <w:sz w:val="24"/>
          <w:szCs w:val="24"/>
          <w:lang w:val="en-JM" w:eastAsia="en-JM"/>
        </w:rPr>
        <w:t>for larceny of $112</w:t>
      </w:r>
      <w:r w:rsidR="007C727C" w:rsidRPr="00AD1764">
        <w:rPr>
          <w:rFonts w:ascii="Tahoma" w:eastAsia="Times New Roman" w:hAnsi="Tahoma" w:cs="Tahoma"/>
          <w:color w:val="000000"/>
          <w:sz w:val="24"/>
          <w:szCs w:val="24"/>
          <w:lang w:val="en-JM" w:eastAsia="en-JM"/>
        </w:rPr>
        <w:t>. This offence had been</w:t>
      </w:r>
      <w:r w:rsidR="00595334" w:rsidRPr="00595334">
        <w:rPr>
          <w:rFonts w:ascii="Tahoma" w:eastAsia="Times New Roman" w:hAnsi="Tahoma" w:cs="Tahoma"/>
          <w:color w:val="000000"/>
          <w:sz w:val="24"/>
          <w:szCs w:val="24"/>
          <w:lang w:val="en-JM" w:eastAsia="en-JM"/>
        </w:rPr>
        <w:t xml:space="preserve"> committed </w:t>
      </w:r>
      <w:r w:rsidR="007C727C" w:rsidRPr="00AD1764">
        <w:rPr>
          <w:rFonts w:ascii="Tahoma" w:eastAsia="Times New Roman" w:hAnsi="Tahoma" w:cs="Tahoma"/>
          <w:color w:val="000000"/>
          <w:sz w:val="24"/>
          <w:szCs w:val="24"/>
          <w:lang w:val="en-JM" w:eastAsia="en-JM"/>
        </w:rPr>
        <w:t>nearly 15 years before the trial</w:t>
      </w:r>
      <w:r w:rsidR="00595334" w:rsidRPr="00595334">
        <w:rPr>
          <w:rFonts w:ascii="Tahoma" w:eastAsia="Times New Roman" w:hAnsi="Tahoma" w:cs="Tahoma"/>
          <w:color w:val="000000"/>
          <w:sz w:val="24"/>
          <w:szCs w:val="24"/>
          <w:lang w:val="en-JM" w:eastAsia="en-JM"/>
        </w:rPr>
        <w:t>. </w:t>
      </w:r>
      <w:r w:rsidR="007C727C" w:rsidRPr="00AD1764">
        <w:rPr>
          <w:rFonts w:ascii="Tahoma" w:eastAsia="Times New Roman" w:hAnsi="Tahoma" w:cs="Tahoma"/>
          <w:color w:val="000000"/>
          <w:sz w:val="24"/>
          <w:szCs w:val="24"/>
          <w:lang w:val="en-JM" w:eastAsia="en-JM"/>
        </w:rPr>
        <w:t>B</w:t>
      </w:r>
      <w:r w:rsidR="00595334" w:rsidRPr="00595334">
        <w:rPr>
          <w:rFonts w:ascii="Tahoma" w:eastAsia="Times New Roman" w:hAnsi="Tahoma" w:cs="Tahoma"/>
          <w:color w:val="000000"/>
          <w:sz w:val="24"/>
          <w:szCs w:val="24"/>
          <w:lang w:val="en-JM" w:eastAsia="en-JM"/>
        </w:rPr>
        <w:t>ecause this offence was</w:t>
      </w:r>
      <w:r w:rsidR="007C727C" w:rsidRPr="00AD1764">
        <w:rPr>
          <w:rFonts w:ascii="Tahoma" w:eastAsia="Times New Roman" w:hAnsi="Tahoma" w:cs="Tahoma"/>
          <w:color w:val="000000"/>
          <w:sz w:val="24"/>
          <w:szCs w:val="24"/>
          <w:lang w:val="en-JM" w:eastAsia="en-JM"/>
        </w:rPr>
        <w:t xml:space="preserve"> considered to be</w:t>
      </w:r>
      <w:r w:rsidR="00595334" w:rsidRPr="00595334">
        <w:rPr>
          <w:rFonts w:ascii="Tahoma" w:eastAsia="Times New Roman" w:hAnsi="Tahoma" w:cs="Tahoma"/>
          <w:color w:val="000000"/>
          <w:sz w:val="24"/>
          <w:szCs w:val="24"/>
          <w:lang w:val="en-JM" w:eastAsia="en-JM"/>
        </w:rPr>
        <w:t xml:space="preserve"> of</w:t>
      </w:r>
      <w:r w:rsidR="007C727C" w:rsidRPr="00AD1764">
        <w:rPr>
          <w:rFonts w:ascii="Tahoma" w:eastAsia="Times New Roman" w:hAnsi="Tahoma" w:cs="Tahoma"/>
          <w:color w:val="000000"/>
          <w:sz w:val="24"/>
          <w:szCs w:val="24"/>
          <w:lang w:val="en-JM" w:eastAsia="en-JM"/>
        </w:rPr>
        <w:t>, as Lord Hutton put it</w:t>
      </w:r>
      <w:r w:rsidR="00AD1764">
        <w:rPr>
          <w:rStyle w:val="FootnoteReference"/>
          <w:rFonts w:ascii="Tahoma" w:eastAsia="Times New Roman" w:hAnsi="Tahoma" w:cs="Tahoma"/>
          <w:color w:val="000000"/>
          <w:sz w:val="24"/>
          <w:szCs w:val="24"/>
          <w:lang w:val="en-JM" w:eastAsia="en-JM"/>
        </w:rPr>
        <w:footnoteReference w:id="58"/>
      </w:r>
      <w:r w:rsidR="007C727C" w:rsidRPr="00AD1764">
        <w:rPr>
          <w:rFonts w:ascii="Tahoma" w:eastAsia="Times New Roman" w:hAnsi="Tahoma" w:cs="Tahoma"/>
          <w:color w:val="000000"/>
          <w:sz w:val="24"/>
          <w:szCs w:val="24"/>
          <w:lang w:val="en-JM" w:eastAsia="en-JM"/>
        </w:rPr>
        <w:t>,</w:t>
      </w:r>
      <w:r w:rsidR="00595334" w:rsidRPr="00595334">
        <w:rPr>
          <w:rFonts w:ascii="Tahoma" w:eastAsia="Times New Roman" w:hAnsi="Tahoma" w:cs="Tahoma"/>
          <w:color w:val="000000"/>
          <w:sz w:val="24"/>
          <w:szCs w:val="24"/>
          <w:lang w:val="en-JM" w:eastAsia="en-JM"/>
        </w:rPr>
        <w:t xml:space="preserve"> </w:t>
      </w:r>
      <w:r w:rsidR="007C727C" w:rsidRPr="00AD1764">
        <w:rPr>
          <w:rFonts w:ascii="Tahoma" w:eastAsia="Times New Roman" w:hAnsi="Tahoma" w:cs="Tahoma"/>
          <w:color w:val="000000"/>
          <w:sz w:val="24"/>
          <w:szCs w:val="24"/>
          <w:lang w:val="en-JM" w:eastAsia="en-JM"/>
        </w:rPr>
        <w:t>“</w:t>
      </w:r>
      <w:r w:rsidR="00595334" w:rsidRPr="00595334">
        <w:rPr>
          <w:rFonts w:ascii="Tahoma" w:eastAsia="Times New Roman" w:hAnsi="Tahoma" w:cs="Tahoma"/>
          <w:color w:val="000000"/>
          <w:sz w:val="24"/>
          <w:szCs w:val="24"/>
          <w:lang w:val="en-JM" w:eastAsia="en-JM"/>
        </w:rPr>
        <w:t>such a minor and non-violent nature</w:t>
      </w:r>
      <w:r w:rsidR="007C727C" w:rsidRPr="00AD1764">
        <w:rPr>
          <w:rFonts w:ascii="Tahoma" w:eastAsia="Times New Roman" w:hAnsi="Tahoma" w:cs="Tahoma"/>
          <w:color w:val="000000"/>
          <w:sz w:val="24"/>
          <w:szCs w:val="24"/>
          <w:lang w:val="en-JM" w:eastAsia="en-JM"/>
        </w:rPr>
        <w:t>”</w:t>
      </w:r>
      <w:r w:rsidR="00595334" w:rsidRPr="00595334">
        <w:rPr>
          <w:rFonts w:ascii="Tahoma" w:eastAsia="Times New Roman" w:hAnsi="Tahoma" w:cs="Tahoma"/>
          <w:color w:val="000000"/>
          <w:sz w:val="24"/>
          <w:szCs w:val="24"/>
          <w:lang w:val="en-JM" w:eastAsia="en-JM"/>
        </w:rPr>
        <w:t>, the</w:t>
      </w:r>
      <w:r w:rsidR="007C727C" w:rsidRPr="00AD1764">
        <w:rPr>
          <w:rFonts w:ascii="Tahoma" w:eastAsia="Times New Roman" w:hAnsi="Tahoma" w:cs="Tahoma"/>
          <w:color w:val="000000"/>
          <w:sz w:val="24"/>
          <w:szCs w:val="24"/>
          <w:lang w:val="en-JM" w:eastAsia="en-JM"/>
        </w:rPr>
        <w:t xml:space="preserve"> Board </w:t>
      </w:r>
      <w:r w:rsidR="00595334" w:rsidRPr="00595334">
        <w:rPr>
          <w:rFonts w:ascii="Tahoma" w:eastAsia="Times New Roman" w:hAnsi="Tahoma" w:cs="Tahoma"/>
          <w:color w:val="000000"/>
          <w:sz w:val="24"/>
          <w:szCs w:val="24"/>
          <w:lang w:val="en-JM" w:eastAsia="en-JM"/>
        </w:rPr>
        <w:t>consider</w:t>
      </w:r>
      <w:r w:rsidR="007C727C" w:rsidRPr="00AD1764">
        <w:rPr>
          <w:rFonts w:ascii="Tahoma" w:eastAsia="Times New Roman" w:hAnsi="Tahoma" w:cs="Tahoma"/>
          <w:color w:val="000000"/>
          <w:sz w:val="24"/>
          <w:szCs w:val="24"/>
          <w:lang w:val="en-JM" w:eastAsia="en-JM"/>
        </w:rPr>
        <w:t>ed</w:t>
      </w:r>
      <w:r w:rsidR="00595334" w:rsidRPr="00595334">
        <w:rPr>
          <w:rFonts w:ascii="Tahoma" w:eastAsia="Times New Roman" w:hAnsi="Tahoma" w:cs="Tahoma"/>
          <w:color w:val="000000"/>
          <w:sz w:val="24"/>
          <w:szCs w:val="24"/>
          <w:lang w:val="en-JM" w:eastAsia="en-JM"/>
        </w:rPr>
        <w:t xml:space="preserve"> that if at the trial the defence had sought to adduce evidence of the good character of the appellant, the trial judge would have held that the previous conviction was immaterial and that the appellant should be regarded as a man of good character. </w:t>
      </w:r>
      <w:r w:rsidR="00595334" w:rsidRPr="00AD1764">
        <w:rPr>
          <w:rFonts w:ascii="Tahoma" w:eastAsia="Times New Roman" w:hAnsi="Tahoma" w:cs="Tahoma"/>
          <w:color w:val="000000"/>
          <w:sz w:val="24"/>
          <w:szCs w:val="24"/>
          <w:lang w:val="en-JM" w:eastAsia="en-JM"/>
        </w:rPr>
        <w:t> </w:t>
      </w:r>
      <w:r w:rsidR="00AD1764" w:rsidRPr="00AD1764">
        <w:rPr>
          <w:rFonts w:ascii="Tahoma" w:eastAsia="Times New Roman" w:hAnsi="Tahoma" w:cs="Tahoma"/>
          <w:color w:val="000000"/>
          <w:sz w:val="24"/>
          <w:szCs w:val="24"/>
          <w:lang w:val="en-JM" w:eastAsia="en-JM"/>
        </w:rPr>
        <w:t>But Lord Hutton went on to say this:</w:t>
      </w:r>
    </w:p>
    <w:p w:rsidR="00595334" w:rsidRDefault="00AD1764" w:rsidP="00AD1764">
      <w:pPr>
        <w:shd w:val="clear" w:color="auto" w:fill="FFFFFF"/>
        <w:spacing w:before="100" w:beforeAutospacing="1" w:after="100" w:afterAutospacing="1" w:line="240" w:lineRule="auto"/>
        <w:ind w:left="1440" w:right="1440"/>
        <w:jc w:val="both"/>
        <w:rPr>
          <w:rFonts w:ascii="Tahoma" w:eastAsia="Times New Roman" w:hAnsi="Tahoma" w:cs="Tahoma"/>
          <w:color w:val="000000"/>
          <w:sz w:val="24"/>
          <w:szCs w:val="24"/>
          <w:lang w:val="en-JM" w:eastAsia="en-JM"/>
        </w:rPr>
      </w:pPr>
      <w:r w:rsidRPr="00AD1764">
        <w:rPr>
          <w:rFonts w:ascii="Tahoma" w:eastAsia="Times New Roman" w:hAnsi="Tahoma" w:cs="Tahoma"/>
          <w:color w:val="000000"/>
          <w:sz w:val="24"/>
          <w:szCs w:val="24"/>
          <w:lang w:val="en-JM" w:eastAsia="en-JM"/>
        </w:rPr>
        <w:t>“...</w:t>
      </w:r>
      <w:r w:rsidR="00595334" w:rsidRPr="00595334">
        <w:rPr>
          <w:rFonts w:ascii="Tahoma" w:eastAsia="Times New Roman" w:hAnsi="Tahoma" w:cs="Tahoma"/>
          <w:color w:val="000000"/>
          <w:sz w:val="24"/>
          <w:szCs w:val="24"/>
          <w:lang w:val="en-JM" w:eastAsia="en-JM"/>
        </w:rPr>
        <w:t>if it is intended to rely on the good character of the accused, that issue must be raised by calling evidence or putting questions on that issue to witnesses for the prosecution: see per Lord Goddard C.J. in</w:t>
      </w:r>
      <w:r w:rsidR="00595334" w:rsidRPr="00AD1764">
        <w:rPr>
          <w:rFonts w:ascii="Tahoma" w:eastAsia="Times New Roman" w:hAnsi="Tahoma" w:cs="Tahoma"/>
          <w:color w:val="000000"/>
          <w:sz w:val="24"/>
          <w:szCs w:val="24"/>
          <w:lang w:val="en-JM" w:eastAsia="en-JM"/>
        </w:rPr>
        <w:t> </w:t>
      </w:r>
      <w:r w:rsidR="00595334" w:rsidRPr="00595334">
        <w:rPr>
          <w:rFonts w:ascii="Tahoma" w:eastAsia="Times New Roman" w:hAnsi="Tahoma" w:cs="Tahoma"/>
          <w:i/>
          <w:iCs/>
          <w:color w:val="000000"/>
          <w:sz w:val="24"/>
          <w:szCs w:val="24"/>
          <w:lang w:val="en-JM" w:eastAsia="en-JM"/>
        </w:rPr>
        <w:t>Rex v. Butterwasser</w:t>
      </w:r>
      <w:r w:rsidR="00595334" w:rsidRPr="00AD1764">
        <w:rPr>
          <w:rFonts w:ascii="Tahoma" w:eastAsia="Times New Roman" w:hAnsi="Tahoma" w:cs="Tahoma"/>
          <w:color w:val="000000"/>
          <w:sz w:val="24"/>
          <w:szCs w:val="24"/>
          <w:lang w:val="en-JM" w:eastAsia="en-JM"/>
        </w:rPr>
        <w:t> </w:t>
      </w:r>
      <w:r w:rsidR="00595334" w:rsidRPr="00595334">
        <w:rPr>
          <w:rFonts w:ascii="Tahoma" w:eastAsia="Times New Roman" w:hAnsi="Tahoma" w:cs="Tahoma"/>
          <w:color w:val="000000"/>
          <w:sz w:val="24"/>
          <w:szCs w:val="24"/>
          <w:lang w:val="en-JM" w:eastAsia="en-JM"/>
        </w:rPr>
        <w:t xml:space="preserve">[1948] 1 K.B. 4, 6. Their Lordships are of </w:t>
      </w:r>
      <w:r w:rsidR="00595334" w:rsidRPr="00595334">
        <w:rPr>
          <w:rFonts w:ascii="Tahoma" w:eastAsia="Times New Roman" w:hAnsi="Tahoma" w:cs="Tahoma"/>
          <w:color w:val="000000"/>
          <w:sz w:val="24"/>
          <w:szCs w:val="24"/>
          <w:lang w:val="en-JM" w:eastAsia="en-JM"/>
        </w:rPr>
        <w:lastRenderedPageBreak/>
        <w:t>opinion that where the issue of good character is not raised by the defence in evidence, the judge is under no duty to raise the issue himself: this is a duty to be discharged by the defence and not by the judge. The duty of a judge to bring to the attention of the jury a possible defence not relied on by defence counsel is not analogous, because that duty only arises where evidence which gives rise to that defence has been given in the trial and is before the jury.</w:t>
      </w:r>
      <w:r w:rsidRPr="00AD1764">
        <w:rPr>
          <w:rFonts w:ascii="Tahoma" w:eastAsia="Times New Roman" w:hAnsi="Tahoma" w:cs="Tahoma"/>
          <w:color w:val="000000"/>
          <w:sz w:val="24"/>
          <w:szCs w:val="24"/>
          <w:lang w:val="en-JM" w:eastAsia="en-JM"/>
        </w:rPr>
        <w:t>”</w:t>
      </w:r>
    </w:p>
    <w:p w:rsidR="00AD1764" w:rsidRDefault="00AD1764" w:rsidP="00AD1764">
      <w:pPr>
        <w:shd w:val="clear" w:color="auto" w:fill="FFFFFF"/>
        <w:spacing w:after="100" w:afterAutospacing="1" w:line="240" w:lineRule="auto"/>
        <w:ind w:right="1440"/>
        <w:jc w:val="both"/>
        <w:rPr>
          <w:rFonts w:ascii="Tahoma" w:eastAsia="Times New Roman" w:hAnsi="Tahoma" w:cs="Tahoma"/>
          <w:color w:val="000000"/>
          <w:sz w:val="24"/>
          <w:szCs w:val="24"/>
          <w:lang w:val="en-JM" w:eastAsia="en-JM"/>
        </w:rPr>
      </w:pPr>
    </w:p>
    <w:p w:rsidR="00EF0BB0" w:rsidRPr="001B55EF" w:rsidRDefault="005D0CE8" w:rsidP="00EF0BB0">
      <w:pPr>
        <w:shd w:val="clear" w:color="auto" w:fill="FFFFFF"/>
        <w:spacing w:before="100" w:beforeAutospacing="1" w:after="100" w:afterAutospacing="1" w:line="480" w:lineRule="auto"/>
        <w:jc w:val="both"/>
        <w:rPr>
          <w:rFonts w:ascii="Tahoma" w:eastAsia="Times New Roman" w:hAnsi="Tahoma" w:cs="Tahoma"/>
          <w:bCs/>
          <w:color w:val="000000"/>
          <w:sz w:val="24"/>
          <w:szCs w:val="24"/>
          <w:lang w:val="en-JM" w:eastAsia="en-JM"/>
        </w:rPr>
      </w:pPr>
      <w:r>
        <w:rPr>
          <w:rFonts w:ascii="Tahoma" w:eastAsia="Times New Roman" w:hAnsi="Tahoma" w:cs="Tahoma"/>
          <w:color w:val="000000"/>
          <w:sz w:val="24"/>
          <w:szCs w:val="24"/>
          <w:lang w:val="en-JM" w:eastAsia="en-JM"/>
        </w:rPr>
        <w:t>3</w:t>
      </w:r>
      <w:r w:rsidR="0094522F">
        <w:rPr>
          <w:rFonts w:ascii="Tahoma" w:eastAsia="Times New Roman" w:hAnsi="Tahoma" w:cs="Tahoma"/>
          <w:color w:val="000000"/>
          <w:sz w:val="24"/>
          <w:szCs w:val="24"/>
          <w:lang w:val="en-JM" w:eastAsia="en-JM"/>
        </w:rPr>
        <w:t>5</w:t>
      </w:r>
      <w:r w:rsidR="00AD1764">
        <w:rPr>
          <w:rFonts w:ascii="Tahoma" w:eastAsia="Times New Roman" w:hAnsi="Tahoma" w:cs="Tahoma"/>
          <w:color w:val="000000"/>
          <w:sz w:val="24"/>
          <w:szCs w:val="24"/>
          <w:lang w:val="en-JM" w:eastAsia="en-JM"/>
        </w:rPr>
        <w:t xml:space="preserve">.   </w:t>
      </w:r>
      <w:r w:rsidR="00BE2E11" w:rsidRPr="00BE2E11">
        <w:rPr>
          <w:rFonts w:ascii="Tahoma" w:eastAsia="Times New Roman" w:hAnsi="Tahoma" w:cs="Tahoma"/>
          <w:b/>
          <w:color w:val="000000"/>
          <w:sz w:val="24"/>
          <w:szCs w:val="24"/>
          <w:lang w:val="en-JM" w:eastAsia="en-JM"/>
        </w:rPr>
        <w:t>Thompson</w:t>
      </w:r>
      <w:r w:rsidR="00BE2E11">
        <w:rPr>
          <w:rFonts w:ascii="Tahoma" w:eastAsia="Times New Roman" w:hAnsi="Tahoma" w:cs="Tahoma"/>
          <w:color w:val="000000"/>
          <w:sz w:val="24"/>
          <w:szCs w:val="24"/>
          <w:lang w:val="en-JM" w:eastAsia="en-JM"/>
        </w:rPr>
        <w:t xml:space="preserve"> has been consistently followed and applied subsequently</w:t>
      </w:r>
      <w:r w:rsidR="00BE2E11">
        <w:rPr>
          <w:rStyle w:val="FootnoteReference"/>
          <w:rFonts w:ascii="Tahoma" w:eastAsia="Times New Roman" w:hAnsi="Tahoma" w:cs="Tahoma"/>
          <w:color w:val="000000"/>
          <w:sz w:val="24"/>
          <w:szCs w:val="24"/>
          <w:lang w:val="en-JM" w:eastAsia="en-JM"/>
        </w:rPr>
        <w:footnoteReference w:id="59"/>
      </w:r>
      <w:r w:rsidR="00BE2E11">
        <w:rPr>
          <w:rFonts w:ascii="Tahoma" w:eastAsia="Times New Roman" w:hAnsi="Tahoma" w:cs="Tahoma"/>
          <w:color w:val="000000"/>
          <w:sz w:val="24"/>
          <w:szCs w:val="24"/>
          <w:lang w:val="en-JM" w:eastAsia="en-JM"/>
        </w:rPr>
        <w:t xml:space="preserve">. </w:t>
      </w:r>
      <w:r w:rsidR="00EF0BB0">
        <w:rPr>
          <w:rFonts w:ascii="Tahoma" w:eastAsia="Times New Roman" w:hAnsi="Tahoma" w:cs="Tahoma"/>
          <w:color w:val="000000"/>
          <w:sz w:val="24"/>
          <w:szCs w:val="24"/>
          <w:lang w:val="en-JM" w:eastAsia="en-JM"/>
        </w:rPr>
        <w:t xml:space="preserve">It is therefore still the general rule, as Lord Woolf said in </w:t>
      </w:r>
      <w:r w:rsidR="00EF0BB0" w:rsidRPr="001B55EF">
        <w:rPr>
          <w:rFonts w:ascii="Tahoma" w:eastAsia="Times New Roman" w:hAnsi="Tahoma" w:cs="Tahoma"/>
          <w:b/>
          <w:color w:val="000000"/>
          <w:sz w:val="24"/>
          <w:szCs w:val="24"/>
          <w:lang w:val="en-JM" w:eastAsia="en-JM"/>
        </w:rPr>
        <w:t>Gilbert v R</w:t>
      </w:r>
      <w:r w:rsidR="001B55EF">
        <w:rPr>
          <w:rStyle w:val="FootnoteReference"/>
          <w:rFonts w:ascii="Tahoma" w:eastAsia="Times New Roman" w:hAnsi="Tahoma" w:cs="Tahoma"/>
          <w:color w:val="000000"/>
          <w:sz w:val="24"/>
          <w:szCs w:val="24"/>
          <w:lang w:val="en-JM" w:eastAsia="en-JM"/>
        </w:rPr>
        <w:footnoteReference w:id="60"/>
      </w:r>
      <w:r w:rsidR="00EF0BB0">
        <w:rPr>
          <w:rFonts w:ascii="Tahoma" w:eastAsia="Times New Roman" w:hAnsi="Tahoma" w:cs="Tahoma"/>
          <w:color w:val="000000"/>
          <w:sz w:val="24"/>
          <w:szCs w:val="24"/>
          <w:lang w:val="en-JM" w:eastAsia="en-JM"/>
        </w:rPr>
        <w:t xml:space="preserve">, </w:t>
      </w:r>
      <w:r w:rsidR="00EF0BB0" w:rsidRPr="00EF0BB0">
        <w:rPr>
          <w:rFonts w:ascii="Tahoma" w:eastAsia="Times New Roman" w:hAnsi="Tahoma" w:cs="Tahoma"/>
          <w:color w:val="000000"/>
          <w:sz w:val="24"/>
          <w:szCs w:val="24"/>
          <w:lang w:val="en-JM" w:eastAsia="en-JM"/>
        </w:rPr>
        <w:t>“</w:t>
      </w:r>
      <w:r w:rsidR="00EF0BB0" w:rsidRPr="00EF0BB0">
        <w:rPr>
          <w:rFonts w:ascii="Tahoma" w:hAnsi="Tahoma" w:cs="Tahoma"/>
          <w:color w:val="000000"/>
          <w:sz w:val="24"/>
          <w:szCs w:val="24"/>
        </w:rPr>
        <w:t xml:space="preserve">that it is up to defending counsel and the defendant to ensure that the judge is aware that the defendant is relying on his good character”. However, Lord Woolf did go on to </w:t>
      </w:r>
      <w:r w:rsidR="006D1AAF">
        <w:rPr>
          <w:rFonts w:ascii="Tahoma" w:hAnsi="Tahoma" w:cs="Tahoma"/>
          <w:color w:val="000000"/>
          <w:sz w:val="24"/>
          <w:szCs w:val="24"/>
        </w:rPr>
        <w:t>observe</w:t>
      </w:r>
      <w:r w:rsidR="001B55EF">
        <w:rPr>
          <w:rStyle w:val="FootnoteReference"/>
          <w:rFonts w:ascii="Tahoma" w:hAnsi="Tahoma" w:cs="Tahoma"/>
          <w:color w:val="000000"/>
          <w:sz w:val="24"/>
          <w:szCs w:val="24"/>
        </w:rPr>
        <w:footnoteReference w:id="61"/>
      </w:r>
      <w:r w:rsidR="001B55EF">
        <w:rPr>
          <w:rFonts w:ascii="Tahoma" w:hAnsi="Tahoma" w:cs="Tahoma"/>
          <w:color w:val="000000"/>
          <w:sz w:val="24"/>
          <w:szCs w:val="24"/>
        </w:rPr>
        <w:t xml:space="preserve"> that, based on the evidence in that case,</w:t>
      </w:r>
      <w:r w:rsidR="006D1AAF" w:rsidRPr="001B55EF">
        <w:rPr>
          <w:rFonts w:ascii="Tahoma" w:hAnsi="Tahoma" w:cs="Tahoma"/>
          <w:color w:val="000000"/>
          <w:sz w:val="24"/>
          <w:szCs w:val="24"/>
        </w:rPr>
        <w:t xml:space="preserve"> in order to clarify the situation, </w:t>
      </w:r>
      <w:r w:rsidR="001B55EF" w:rsidRPr="001B55EF">
        <w:rPr>
          <w:rFonts w:ascii="Tahoma" w:hAnsi="Tahoma" w:cs="Tahoma"/>
          <w:color w:val="000000"/>
          <w:sz w:val="24"/>
          <w:szCs w:val="24"/>
        </w:rPr>
        <w:t xml:space="preserve">“the trial judge would have been well advised” to have asked the defendant's counsel whether he intended to rely on good character before he decided not to give the usual direction. Lord Woolf </w:t>
      </w:r>
      <w:r w:rsidR="00EF0BB0" w:rsidRPr="001B55EF">
        <w:rPr>
          <w:rFonts w:ascii="Tahoma" w:hAnsi="Tahoma" w:cs="Tahoma"/>
          <w:color w:val="000000"/>
          <w:sz w:val="24"/>
          <w:szCs w:val="24"/>
        </w:rPr>
        <w:t>observe</w:t>
      </w:r>
      <w:r w:rsidR="001B55EF" w:rsidRPr="001B55EF">
        <w:rPr>
          <w:rFonts w:ascii="Tahoma" w:hAnsi="Tahoma" w:cs="Tahoma"/>
          <w:color w:val="000000"/>
          <w:sz w:val="24"/>
          <w:szCs w:val="24"/>
        </w:rPr>
        <w:t>d further</w:t>
      </w:r>
      <w:r w:rsidR="001B55EF">
        <w:rPr>
          <w:rStyle w:val="FootnoteReference"/>
          <w:rFonts w:ascii="Tahoma" w:hAnsi="Tahoma" w:cs="Tahoma"/>
          <w:color w:val="000000"/>
          <w:sz w:val="24"/>
          <w:szCs w:val="24"/>
        </w:rPr>
        <w:footnoteReference w:id="62"/>
      </w:r>
      <w:r w:rsidR="00EF0BB0" w:rsidRPr="001B55EF">
        <w:rPr>
          <w:rFonts w:ascii="Tahoma" w:eastAsia="Times New Roman" w:hAnsi="Tahoma" w:cs="Tahoma"/>
          <w:color w:val="000000"/>
          <w:sz w:val="24"/>
          <w:szCs w:val="24"/>
          <w:lang w:val="en-JM" w:eastAsia="en-JM"/>
        </w:rPr>
        <w:t xml:space="preserve"> that </w:t>
      </w:r>
      <w:r w:rsidR="00EF0BB0" w:rsidRPr="001B55EF">
        <w:rPr>
          <w:rFonts w:ascii="Tahoma" w:hAnsi="Tahoma" w:cs="Tahoma"/>
          <w:color w:val="000000"/>
          <w:sz w:val="24"/>
          <w:szCs w:val="24"/>
        </w:rPr>
        <w:t>it is good practice for the judge, where there is any doubt as to the position as regards the defendant’s good character, to raise the matter with counsel.</w:t>
      </w:r>
    </w:p>
    <w:p w:rsidR="00AC2BAC" w:rsidRPr="007045C9" w:rsidRDefault="001B55EF" w:rsidP="007045C9">
      <w:pPr>
        <w:spacing w:before="100" w:beforeAutospacing="1" w:after="100" w:afterAutospacing="1" w:line="480" w:lineRule="auto"/>
        <w:jc w:val="both"/>
        <w:rPr>
          <w:rFonts w:ascii="Tahoma" w:hAnsi="Tahoma" w:cs="Tahoma"/>
          <w:color w:val="000000"/>
          <w:sz w:val="24"/>
          <w:szCs w:val="24"/>
        </w:rPr>
      </w:pPr>
      <w:r w:rsidRPr="007045C9">
        <w:rPr>
          <w:rFonts w:ascii="Tahoma" w:eastAsia="Times New Roman" w:hAnsi="Tahoma" w:cs="Tahoma"/>
          <w:color w:val="000000"/>
          <w:sz w:val="24"/>
          <w:szCs w:val="24"/>
          <w:lang w:val="en-JM" w:eastAsia="en-JM"/>
        </w:rPr>
        <w:t>3</w:t>
      </w:r>
      <w:r w:rsidR="0094522F">
        <w:rPr>
          <w:rFonts w:ascii="Tahoma" w:eastAsia="Times New Roman" w:hAnsi="Tahoma" w:cs="Tahoma"/>
          <w:color w:val="000000"/>
          <w:sz w:val="24"/>
          <w:szCs w:val="24"/>
          <w:lang w:val="en-JM" w:eastAsia="en-JM"/>
        </w:rPr>
        <w:t>6</w:t>
      </w:r>
      <w:r w:rsidRPr="007045C9">
        <w:rPr>
          <w:rFonts w:ascii="Tahoma" w:eastAsia="Times New Roman" w:hAnsi="Tahoma" w:cs="Tahoma"/>
          <w:color w:val="000000"/>
          <w:sz w:val="24"/>
          <w:szCs w:val="24"/>
          <w:lang w:val="en-JM" w:eastAsia="en-JM"/>
        </w:rPr>
        <w:t xml:space="preserve">.   </w:t>
      </w:r>
      <w:r w:rsidR="00BE2E11" w:rsidRPr="007045C9">
        <w:rPr>
          <w:rFonts w:ascii="Tahoma" w:eastAsia="Times New Roman" w:hAnsi="Tahoma" w:cs="Tahoma"/>
          <w:color w:val="000000"/>
          <w:sz w:val="24"/>
          <w:szCs w:val="24"/>
          <w:lang w:val="en-JM" w:eastAsia="en-JM"/>
        </w:rPr>
        <w:t>I</w:t>
      </w:r>
      <w:r w:rsidR="00AD1764" w:rsidRPr="007045C9">
        <w:rPr>
          <w:rFonts w:ascii="Tahoma" w:eastAsia="Times New Roman" w:hAnsi="Tahoma" w:cs="Tahoma"/>
          <w:color w:val="000000"/>
          <w:sz w:val="24"/>
          <w:szCs w:val="24"/>
          <w:lang w:val="en-JM" w:eastAsia="en-JM"/>
        </w:rPr>
        <w:t xml:space="preserve">t is therefore </w:t>
      </w:r>
      <w:r w:rsidR="00A41C00" w:rsidRPr="007045C9">
        <w:rPr>
          <w:rFonts w:ascii="Tahoma" w:hAnsi="Tahoma" w:cs="Tahoma"/>
          <w:color w:val="000000"/>
          <w:sz w:val="24"/>
          <w:szCs w:val="24"/>
        </w:rPr>
        <w:t>a</w:t>
      </w:r>
      <w:r w:rsidR="00AD1764" w:rsidRPr="007045C9">
        <w:rPr>
          <w:rFonts w:ascii="Tahoma" w:hAnsi="Tahoma" w:cs="Tahoma"/>
          <w:color w:val="000000"/>
          <w:sz w:val="24"/>
          <w:szCs w:val="24"/>
        </w:rPr>
        <w:t xml:space="preserve">n important </w:t>
      </w:r>
      <w:r w:rsidR="00A41C00" w:rsidRPr="007045C9">
        <w:rPr>
          <w:rFonts w:ascii="Tahoma" w:hAnsi="Tahoma" w:cs="Tahoma"/>
          <w:color w:val="000000"/>
          <w:sz w:val="24"/>
          <w:szCs w:val="24"/>
        </w:rPr>
        <w:t xml:space="preserve">part of counsel's duty to his </w:t>
      </w:r>
      <w:r w:rsidR="005050C2" w:rsidRPr="007045C9">
        <w:rPr>
          <w:rFonts w:ascii="Tahoma" w:hAnsi="Tahoma" w:cs="Tahoma"/>
          <w:color w:val="000000"/>
          <w:sz w:val="24"/>
          <w:szCs w:val="24"/>
        </w:rPr>
        <w:t xml:space="preserve">or her </w:t>
      </w:r>
      <w:r w:rsidR="00A41C00" w:rsidRPr="007045C9">
        <w:rPr>
          <w:rFonts w:ascii="Tahoma" w:hAnsi="Tahoma" w:cs="Tahoma"/>
          <w:color w:val="000000"/>
          <w:sz w:val="24"/>
          <w:szCs w:val="24"/>
        </w:rPr>
        <w:t xml:space="preserve">client to ensure that a good character direction is obtained where the defendant is entitled to it and </w:t>
      </w:r>
      <w:r w:rsidR="00A41C00" w:rsidRPr="007045C9">
        <w:rPr>
          <w:rFonts w:ascii="Tahoma" w:hAnsi="Tahoma" w:cs="Tahoma"/>
          <w:color w:val="000000"/>
          <w:sz w:val="24"/>
          <w:szCs w:val="24"/>
        </w:rPr>
        <w:lastRenderedPageBreak/>
        <w:t xml:space="preserve">likely to benefit from it. </w:t>
      </w:r>
      <w:r w:rsidR="00B534C8" w:rsidRPr="007045C9">
        <w:rPr>
          <w:rFonts w:ascii="Tahoma" w:hAnsi="Tahoma" w:cs="Tahoma"/>
          <w:color w:val="000000"/>
          <w:sz w:val="24"/>
          <w:szCs w:val="24"/>
        </w:rPr>
        <w:t xml:space="preserve">As Lord </w:t>
      </w:r>
      <w:proofErr w:type="spellStart"/>
      <w:r w:rsidR="00B534C8" w:rsidRPr="007045C9">
        <w:rPr>
          <w:rFonts w:ascii="Tahoma" w:hAnsi="Tahoma" w:cs="Tahoma"/>
          <w:color w:val="000000"/>
          <w:sz w:val="24"/>
          <w:szCs w:val="24"/>
        </w:rPr>
        <w:t>Carswell</w:t>
      </w:r>
      <w:proofErr w:type="spellEnd"/>
      <w:r w:rsidR="00B534C8" w:rsidRPr="007045C9">
        <w:rPr>
          <w:rFonts w:ascii="Tahoma" w:hAnsi="Tahoma" w:cs="Tahoma"/>
          <w:color w:val="000000"/>
          <w:sz w:val="24"/>
          <w:szCs w:val="24"/>
        </w:rPr>
        <w:t xml:space="preserve"> observed in </w:t>
      </w:r>
      <w:proofErr w:type="spellStart"/>
      <w:r w:rsidR="001D419E" w:rsidRPr="007045C9">
        <w:rPr>
          <w:rFonts w:ascii="Tahoma" w:hAnsi="Tahoma" w:cs="Tahoma"/>
          <w:b/>
          <w:color w:val="000000"/>
          <w:sz w:val="24"/>
          <w:szCs w:val="24"/>
        </w:rPr>
        <w:t>Nyron</w:t>
      </w:r>
      <w:proofErr w:type="spellEnd"/>
      <w:r w:rsidR="001D419E" w:rsidRPr="007045C9">
        <w:rPr>
          <w:rFonts w:ascii="Tahoma" w:hAnsi="Tahoma" w:cs="Tahoma"/>
          <w:b/>
          <w:color w:val="000000"/>
          <w:sz w:val="24"/>
          <w:szCs w:val="24"/>
        </w:rPr>
        <w:t xml:space="preserve"> </w:t>
      </w:r>
      <w:r w:rsidR="00B534C8" w:rsidRPr="007045C9">
        <w:rPr>
          <w:rFonts w:ascii="Tahoma" w:hAnsi="Tahoma" w:cs="Tahoma"/>
          <w:b/>
          <w:color w:val="000000"/>
          <w:sz w:val="24"/>
          <w:szCs w:val="24"/>
        </w:rPr>
        <w:t>Smith</w:t>
      </w:r>
      <w:r w:rsidR="00B534C8" w:rsidRPr="007045C9">
        <w:rPr>
          <w:rStyle w:val="FootnoteReference"/>
          <w:rFonts w:ascii="Tahoma" w:hAnsi="Tahoma" w:cs="Tahoma"/>
          <w:color w:val="000000"/>
          <w:sz w:val="24"/>
          <w:szCs w:val="24"/>
        </w:rPr>
        <w:footnoteReference w:id="63"/>
      </w:r>
      <w:r w:rsidR="00B534C8" w:rsidRPr="007045C9">
        <w:rPr>
          <w:rFonts w:ascii="Tahoma" w:hAnsi="Tahoma" w:cs="Tahoma"/>
          <w:color w:val="000000"/>
          <w:sz w:val="24"/>
          <w:szCs w:val="24"/>
        </w:rPr>
        <w:t>, “</w:t>
      </w:r>
      <w:r w:rsidR="00B534C8" w:rsidRPr="007045C9">
        <w:rPr>
          <w:rFonts w:ascii="Tahoma" w:hAnsi="Tahoma" w:cs="Tahoma"/>
          <w:bCs/>
          <w:color w:val="000000"/>
          <w:sz w:val="24"/>
          <w:szCs w:val="24"/>
        </w:rPr>
        <w:t>failure to do so and obtain the appropriate direction may make a guilty verdict unsafe”.</w:t>
      </w:r>
      <w:r w:rsidR="00B534C8" w:rsidRPr="007045C9">
        <w:rPr>
          <w:rFonts w:ascii="Tahoma" w:hAnsi="Tahoma" w:cs="Tahoma"/>
          <w:color w:val="000000"/>
          <w:sz w:val="24"/>
          <w:szCs w:val="24"/>
        </w:rPr>
        <w:t xml:space="preserve"> </w:t>
      </w:r>
      <w:r w:rsidR="00A41C00" w:rsidRPr="007045C9">
        <w:rPr>
          <w:rFonts w:ascii="Tahoma" w:hAnsi="Tahoma" w:cs="Tahoma"/>
          <w:color w:val="000000"/>
          <w:sz w:val="24"/>
          <w:szCs w:val="24"/>
        </w:rPr>
        <w:t>Th</w:t>
      </w:r>
      <w:r w:rsidR="00AD1764" w:rsidRPr="007045C9">
        <w:rPr>
          <w:rFonts w:ascii="Tahoma" w:hAnsi="Tahoma" w:cs="Tahoma"/>
          <w:color w:val="000000"/>
          <w:sz w:val="24"/>
          <w:szCs w:val="24"/>
        </w:rPr>
        <w:t>is</w:t>
      </w:r>
      <w:r w:rsidR="00A41C00" w:rsidRPr="007045C9">
        <w:rPr>
          <w:rFonts w:ascii="Tahoma" w:hAnsi="Tahoma" w:cs="Tahoma"/>
          <w:color w:val="000000"/>
          <w:sz w:val="24"/>
          <w:szCs w:val="24"/>
        </w:rPr>
        <w:t xml:space="preserve"> duty</w:t>
      </w:r>
      <w:r w:rsidR="00AD1764" w:rsidRPr="007045C9">
        <w:rPr>
          <w:rFonts w:ascii="Tahoma" w:hAnsi="Tahoma" w:cs="Tahoma"/>
          <w:color w:val="000000"/>
          <w:sz w:val="24"/>
          <w:szCs w:val="24"/>
        </w:rPr>
        <w:t xml:space="preserve"> n</w:t>
      </w:r>
      <w:r w:rsidR="00BE2E11" w:rsidRPr="007045C9">
        <w:rPr>
          <w:rFonts w:ascii="Tahoma" w:hAnsi="Tahoma" w:cs="Tahoma"/>
          <w:color w:val="000000"/>
          <w:sz w:val="24"/>
          <w:szCs w:val="24"/>
        </w:rPr>
        <w:t>ecessarily</w:t>
      </w:r>
      <w:r w:rsidR="00AD1764" w:rsidRPr="007045C9">
        <w:rPr>
          <w:rFonts w:ascii="Tahoma" w:hAnsi="Tahoma" w:cs="Tahoma"/>
          <w:color w:val="000000"/>
          <w:sz w:val="24"/>
          <w:szCs w:val="24"/>
        </w:rPr>
        <w:t xml:space="preserve"> involves the taking of careful</w:t>
      </w:r>
      <w:r w:rsidR="00AC2BAC" w:rsidRPr="007045C9">
        <w:rPr>
          <w:rFonts w:ascii="Tahoma" w:hAnsi="Tahoma" w:cs="Tahoma"/>
          <w:color w:val="000000"/>
          <w:sz w:val="24"/>
          <w:szCs w:val="24"/>
        </w:rPr>
        <w:t xml:space="preserve"> written</w:t>
      </w:r>
      <w:r w:rsidR="00AD1764" w:rsidRPr="007045C9">
        <w:rPr>
          <w:rFonts w:ascii="Tahoma" w:hAnsi="Tahoma" w:cs="Tahoma"/>
          <w:color w:val="000000"/>
          <w:sz w:val="24"/>
          <w:szCs w:val="24"/>
        </w:rPr>
        <w:t xml:space="preserve"> instructions from the client</w:t>
      </w:r>
      <w:r w:rsidR="00AC2BAC" w:rsidRPr="007045C9">
        <w:rPr>
          <w:rFonts w:ascii="Tahoma" w:hAnsi="Tahoma" w:cs="Tahoma"/>
          <w:color w:val="000000"/>
          <w:sz w:val="24"/>
          <w:szCs w:val="24"/>
        </w:rPr>
        <w:t>, an obvious point</w:t>
      </w:r>
      <w:r w:rsidR="007045C9">
        <w:rPr>
          <w:rFonts w:ascii="Tahoma" w:hAnsi="Tahoma" w:cs="Tahoma"/>
          <w:color w:val="000000"/>
          <w:sz w:val="24"/>
          <w:szCs w:val="24"/>
        </w:rPr>
        <w:t xml:space="preserve"> </w:t>
      </w:r>
      <w:r w:rsidR="00AC2BAC" w:rsidRPr="007045C9">
        <w:rPr>
          <w:rFonts w:ascii="Tahoma" w:hAnsi="Tahoma" w:cs="Tahoma"/>
          <w:color w:val="000000"/>
          <w:sz w:val="24"/>
          <w:szCs w:val="24"/>
        </w:rPr>
        <w:t xml:space="preserve">which has </w:t>
      </w:r>
      <w:r w:rsidR="007045C9">
        <w:rPr>
          <w:rFonts w:ascii="Tahoma" w:hAnsi="Tahoma" w:cs="Tahoma"/>
          <w:color w:val="000000"/>
          <w:sz w:val="24"/>
          <w:szCs w:val="24"/>
        </w:rPr>
        <w:t xml:space="preserve">nevertheless </w:t>
      </w:r>
      <w:r w:rsidR="00AC2BAC" w:rsidRPr="007045C9">
        <w:rPr>
          <w:rFonts w:ascii="Tahoma" w:hAnsi="Tahoma" w:cs="Tahoma"/>
          <w:color w:val="000000"/>
          <w:sz w:val="24"/>
          <w:szCs w:val="24"/>
        </w:rPr>
        <w:t>had to be re</w:t>
      </w:r>
      <w:r w:rsidR="001452EA">
        <w:rPr>
          <w:rFonts w:ascii="Tahoma" w:hAnsi="Tahoma" w:cs="Tahoma"/>
          <w:color w:val="000000"/>
          <w:sz w:val="24"/>
          <w:szCs w:val="24"/>
        </w:rPr>
        <w:t>stated</w:t>
      </w:r>
      <w:r w:rsidR="00AC2BAC" w:rsidRPr="007045C9">
        <w:rPr>
          <w:rFonts w:ascii="Tahoma" w:hAnsi="Tahoma" w:cs="Tahoma"/>
          <w:color w:val="000000"/>
          <w:sz w:val="24"/>
          <w:szCs w:val="24"/>
        </w:rPr>
        <w:t xml:space="preserve"> by the Board on more than one occasion in recent times. So, </w:t>
      </w:r>
      <w:r w:rsidR="001452EA">
        <w:rPr>
          <w:rFonts w:ascii="Tahoma" w:hAnsi="Tahoma" w:cs="Tahoma"/>
          <w:color w:val="000000"/>
          <w:sz w:val="24"/>
          <w:szCs w:val="24"/>
        </w:rPr>
        <w:t xml:space="preserve">for instance, </w:t>
      </w:r>
      <w:r w:rsidR="00AC2BAC" w:rsidRPr="007045C9">
        <w:rPr>
          <w:rFonts w:ascii="Tahoma" w:hAnsi="Tahoma" w:cs="Tahoma"/>
          <w:color w:val="000000"/>
          <w:sz w:val="24"/>
          <w:szCs w:val="24"/>
        </w:rPr>
        <w:t xml:space="preserve">in </w:t>
      </w:r>
      <w:r w:rsidR="00AC2BAC" w:rsidRPr="007045C9">
        <w:rPr>
          <w:rFonts w:ascii="Tahoma" w:hAnsi="Tahoma" w:cs="Tahoma"/>
          <w:b/>
          <w:iCs/>
          <w:color w:val="000000"/>
          <w:sz w:val="24"/>
          <w:szCs w:val="24"/>
        </w:rPr>
        <w:t>Bethel v The State</w:t>
      </w:r>
      <w:r w:rsidR="007045C9" w:rsidRPr="007045C9">
        <w:rPr>
          <w:rStyle w:val="FootnoteReference"/>
          <w:rFonts w:ascii="Tahoma" w:hAnsi="Tahoma" w:cs="Tahoma"/>
          <w:iCs/>
          <w:color w:val="000000"/>
          <w:sz w:val="24"/>
          <w:szCs w:val="24"/>
        </w:rPr>
        <w:footnoteReference w:id="64"/>
      </w:r>
      <w:r w:rsidR="007045C9" w:rsidRPr="007045C9">
        <w:rPr>
          <w:rFonts w:ascii="Tahoma" w:hAnsi="Tahoma" w:cs="Tahoma"/>
          <w:iCs/>
          <w:color w:val="000000"/>
          <w:sz w:val="24"/>
          <w:szCs w:val="24"/>
        </w:rPr>
        <w:t>,</w:t>
      </w:r>
      <w:r w:rsidR="007045C9">
        <w:rPr>
          <w:rFonts w:ascii="Tahoma" w:hAnsi="Tahoma" w:cs="Tahoma"/>
          <w:color w:val="000000"/>
          <w:sz w:val="24"/>
          <w:szCs w:val="24"/>
        </w:rPr>
        <w:t xml:space="preserve"> </w:t>
      </w:r>
      <w:r w:rsidR="00AC2BAC" w:rsidRPr="007045C9">
        <w:rPr>
          <w:rFonts w:ascii="Tahoma" w:hAnsi="Tahoma" w:cs="Tahoma"/>
          <w:color w:val="000000"/>
          <w:sz w:val="24"/>
          <w:szCs w:val="24"/>
        </w:rPr>
        <w:t>in which the appellant complained that he had wanted to give evidence and his counsel had prevented him from doing so, the Board said:</w:t>
      </w:r>
    </w:p>
    <w:p w:rsidR="00AC2BAC" w:rsidRPr="007045C9" w:rsidRDefault="00AC2BAC" w:rsidP="001452EA">
      <w:pPr>
        <w:ind w:left="1440" w:right="1440"/>
        <w:jc w:val="both"/>
        <w:rPr>
          <w:rFonts w:ascii="Tahoma" w:hAnsi="Tahoma" w:cs="Tahoma"/>
          <w:color w:val="000000"/>
          <w:sz w:val="24"/>
          <w:szCs w:val="24"/>
        </w:rPr>
      </w:pPr>
      <w:r w:rsidRPr="007045C9">
        <w:rPr>
          <w:rFonts w:ascii="Tahoma" w:hAnsi="Tahoma" w:cs="Tahoma"/>
          <w:color w:val="000000"/>
          <w:sz w:val="24"/>
          <w:szCs w:val="24"/>
        </w:rPr>
        <w:t xml:space="preserve">"They are bound to say that they are surprised that in a capital case no witness statement was taken from the petitioner or other memorandum made of his instructions. In view of the prevalence of allegations such as those now made, they think that defending counsel should as a matter of course make and preserve a written record of the instructions he receives. </w:t>
      </w:r>
      <w:proofErr w:type="gramStart"/>
      <w:r w:rsidRPr="007045C9">
        <w:rPr>
          <w:rFonts w:ascii="Tahoma" w:hAnsi="Tahoma" w:cs="Tahoma"/>
          <w:color w:val="000000"/>
          <w:sz w:val="24"/>
          <w:szCs w:val="24"/>
        </w:rPr>
        <w:t>lf</w:t>
      </w:r>
      <w:proofErr w:type="gramEnd"/>
      <w:r w:rsidRPr="007045C9">
        <w:rPr>
          <w:rFonts w:ascii="Tahoma" w:hAnsi="Tahoma" w:cs="Tahoma"/>
          <w:color w:val="000000"/>
          <w:sz w:val="24"/>
          <w:szCs w:val="24"/>
        </w:rPr>
        <w:t xml:space="preserve"> this appeal serves no other purpose, it should remind counsel of the absolute necessity of protecting themselves from such allegations in the future."</w:t>
      </w:r>
      <w:r w:rsidR="007045C9">
        <w:rPr>
          <w:rStyle w:val="FootnoteReference"/>
          <w:rFonts w:ascii="Tahoma" w:hAnsi="Tahoma" w:cs="Tahoma"/>
          <w:color w:val="000000"/>
          <w:sz w:val="24"/>
          <w:szCs w:val="24"/>
        </w:rPr>
        <w:footnoteReference w:id="65"/>
      </w:r>
    </w:p>
    <w:p w:rsidR="001452EA" w:rsidRDefault="001452EA" w:rsidP="001452EA">
      <w:pPr>
        <w:shd w:val="clear" w:color="auto" w:fill="FFFFFF"/>
        <w:spacing w:after="100" w:afterAutospacing="1" w:line="240" w:lineRule="auto"/>
        <w:jc w:val="both"/>
        <w:rPr>
          <w:rFonts w:ascii="Tahoma" w:hAnsi="Tahoma" w:cs="Tahoma"/>
          <w:color w:val="000000"/>
          <w:sz w:val="24"/>
          <w:szCs w:val="24"/>
        </w:rPr>
      </w:pPr>
    </w:p>
    <w:p w:rsidR="008F7FE2" w:rsidRPr="008F7FE2" w:rsidRDefault="001452EA" w:rsidP="00496BD4">
      <w:pPr>
        <w:shd w:val="clear" w:color="auto" w:fill="FFFFFF"/>
        <w:spacing w:before="100" w:beforeAutospacing="1" w:after="100" w:afterAutospacing="1" w:line="480" w:lineRule="auto"/>
        <w:jc w:val="both"/>
        <w:rPr>
          <w:rFonts w:ascii="Tahoma" w:hAnsi="Tahoma" w:cs="Tahoma"/>
          <w:bCs/>
          <w:color w:val="000000"/>
          <w:sz w:val="24"/>
          <w:szCs w:val="24"/>
        </w:rPr>
      </w:pPr>
      <w:r>
        <w:rPr>
          <w:rFonts w:ascii="Tahoma" w:hAnsi="Tahoma" w:cs="Tahoma"/>
          <w:color w:val="000000"/>
          <w:sz w:val="24"/>
          <w:szCs w:val="24"/>
        </w:rPr>
        <w:t>3</w:t>
      </w:r>
      <w:r w:rsidR="0094522F">
        <w:rPr>
          <w:rFonts w:ascii="Tahoma" w:hAnsi="Tahoma" w:cs="Tahoma"/>
          <w:color w:val="000000"/>
          <w:sz w:val="24"/>
          <w:szCs w:val="24"/>
        </w:rPr>
        <w:t>7</w:t>
      </w:r>
      <w:r>
        <w:rPr>
          <w:rFonts w:ascii="Tahoma" w:hAnsi="Tahoma" w:cs="Tahoma"/>
          <w:color w:val="000000"/>
          <w:sz w:val="24"/>
          <w:szCs w:val="24"/>
        </w:rPr>
        <w:t xml:space="preserve">.   </w:t>
      </w:r>
      <w:r w:rsidR="00CB2D11">
        <w:rPr>
          <w:rFonts w:ascii="Tahoma" w:hAnsi="Tahoma" w:cs="Tahoma"/>
          <w:color w:val="000000"/>
          <w:sz w:val="24"/>
          <w:szCs w:val="24"/>
        </w:rPr>
        <w:t xml:space="preserve">A related problem arises in jurisdictions, such as Jamaica, in which the defendant is still permitted to make an unsworn statement from the dock, as an alternative to giving sworn evidence. </w:t>
      </w:r>
      <w:r w:rsidR="008F7FE2">
        <w:rPr>
          <w:rFonts w:ascii="Tahoma" w:hAnsi="Tahoma" w:cs="Tahoma"/>
          <w:color w:val="000000"/>
          <w:sz w:val="24"/>
          <w:szCs w:val="24"/>
        </w:rPr>
        <w:t>It</w:t>
      </w:r>
      <w:r w:rsidR="00CB2D11">
        <w:rPr>
          <w:rFonts w:ascii="Tahoma" w:hAnsi="Tahoma" w:cs="Tahoma"/>
          <w:color w:val="000000"/>
          <w:sz w:val="24"/>
          <w:szCs w:val="24"/>
        </w:rPr>
        <w:t xml:space="preserve"> is clear that a defendant in this position</w:t>
      </w:r>
      <w:r w:rsidR="008F7FE2">
        <w:rPr>
          <w:rFonts w:ascii="Tahoma" w:hAnsi="Tahoma" w:cs="Tahoma"/>
          <w:color w:val="000000"/>
          <w:sz w:val="24"/>
          <w:szCs w:val="24"/>
        </w:rPr>
        <w:t>,</w:t>
      </w:r>
      <w:r w:rsidR="00CB2D11">
        <w:rPr>
          <w:rFonts w:ascii="Tahoma" w:hAnsi="Tahoma" w:cs="Tahoma"/>
          <w:color w:val="000000"/>
          <w:sz w:val="24"/>
          <w:szCs w:val="24"/>
        </w:rPr>
        <w:t xml:space="preserve"> whose character is in issue</w:t>
      </w:r>
      <w:r w:rsidR="008F7FE2">
        <w:rPr>
          <w:rFonts w:ascii="Tahoma" w:hAnsi="Tahoma" w:cs="Tahoma"/>
          <w:color w:val="000000"/>
          <w:sz w:val="24"/>
          <w:szCs w:val="24"/>
        </w:rPr>
        <w:t>,</w:t>
      </w:r>
      <w:r w:rsidR="00CB2D11">
        <w:rPr>
          <w:rFonts w:ascii="Tahoma" w:hAnsi="Tahoma" w:cs="Tahoma"/>
          <w:color w:val="000000"/>
          <w:sz w:val="24"/>
          <w:szCs w:val="24"/>
        </w:rPr>
        <w:t xml:space="preserve"> is fully entitled to the propensity limb of the good character direction</w:t>
      </w:r>
      <w:r w:rsidR="008F7FE2">
        <w:rPr>
          <w:rFonts w:ascii="Tahoma" w:hAnsi="Tahoma" w:cs="Tahoma"/>
          <w:color w:val="000000"/>
          <w:sz w:val="24"/>
          <w:szCs w:val="24"/>
        </w:rPr>
        <w:t>. But</w:t>
      </w:r>
      <w:r w:rsidR="00CB2D11">
        <w:rPr>
          <w:rFonts w:ascii="Tahoma" w:hAnsi="Tahoma" w:cs="Tahoma"/>
          <w:color w:val="000000"/>
          <w:sz w:val="24"/>
          <w:szCs w:val="24"/>
        </w:rPr>
        <w:t xml:space="preserve"> there is greater uncertainty with respect to the credibility limb</w:t>
      </w:r>
      <w:r w:rsidR="008F7FE2">
        <w:rPr>
          <w:rFonts w:ascii="Tahoma" w:hAnsi="Tahoma" w:cs="Tahoma"/>
          <w:color w:val="000000"/>
          <w:sz w:val="24"/>
          <w:szCs w:val="24"/>
        </w:rPr>
        <w:t xml:space="preserve"> and there is in fact no direct authority from the Privy Council</w:t>
      </w:r>
      <w:r w:rsidR="00496BD4">
        <w:rPr>
          <w:rFonts w:ascii="Tahoma" w:hAnsi="Tahoma" w:cs="Tahoma"/>
          <w:color w:val="000000"/>
          <w:sz w:val="24"/>
          <w:szCs w:val="24"/>
        </w:rPr>
        <w:t xml:space="preserve"> as to whether in these circumstances the credibility </w:t>
      </w:r>
      <w:r w:rsidR="00496BD4">
        <w:rPr>
          <w:rFonts w:ascii="Tahoma" w:hAnsi="Tahoma" w:cs="Tahoma"/>
          <w:color w:val="000000"/>
          <w:sz w:val="24"/>
          <w:szCs w:val="24"/>
        </w:rPr>
        <w:lastRenderedPageBreak/>
        <w:t xml:space="preserve">direction </w:t>
      </w:r>
      <w:r w:rsidR="005460E3">
        <w:rPr>
          <w:rFonts w:ascii="Tahoma" w:hAnsi="Tahoma" w:cs="Tahoma"/>
          <w:color w:val="000000"/>
          <w:sz w:val="24"/>
          <w:szCs w:val="24"/>
        </w:rPr>
        <w:t>is required</w:t>
      </w:r>
      <w:r w:rsidR="00496BD4">
        <w:rPr>
          <w:rFonts w:ascii="Tahoma" w:hAnsi="Tahoma" w:cs="Tahoma"/>
          <w:color w:val="000000"/>
          <w:sz w:val="24"/>
          <w:szCs w:val="24"/>
        </w:rPr>
        <w:t xml:space="preserve"> at all</w:t>
      </w:r>
      <w:r w:rsidR="008F7FE2">
        <w:rPr>
          <w:rFonts w:ascii="Tahoma" w:hAnsi="Tahoma" w:cs="Tahoma"/>
          <w:color w:val="000000"/>
          <w:sz w:val="24"/>
          <w:szCs w:val="24"/>
        </w:rPr>
        <w:t>.</w:t>
      </w:r>
      <w:r w:rsidR="00CB2D11">
        <w:rPr>
          <w:rFonts w:ascii="Tahoma" w:hAnsi="Tahoma" w:cs="Tahoma"/>
          <w:color w:val="000000"/>
          <w:sz w:val="24"/>
          <w:szCs w:val="24"/>
        </w:rPr>
        <w:t xml:space="preserve"> </w:t>
      </w:r>
      <w:r w:rsidR="00496BD4">
        <w:rPr>
          <w:rFonts w:ascii="Tahoma" w:hAnsi="Tahoma" w:cs="Tahoma"/>
          <w:color w:val="000000"/>
          <w:sz w:val="24"/>
          <w:szCs w:val="24"/>
        </w:rPr>
        <w:t>While t</w:t>
      </w:r>
      <w:r w:rsidR="008F7FE2">
        <w:rPr>
          <w:rFonts w:ascii="Tahoma" w:hAnsi="Tahoma" w:cs="Tahoma"/>
          <w:color w:val="000000"/>
          <w:sz w:val="24"/>
          <w:szCs w:val="24"/>
        </w:rPr>
        <w:t>here have been appeals based on counsel’s alleged failure to advise the defendant that, had he given sworn evidence, he would unequivocally have been entitled to both limbs of the good character direction</w:t>
      </w:r>
      <w:r w:rsidR="00496BD4">
        <w:rPr>
          <w:rFonts w:ascii="Tahoma" w:hAnsi="Tahoma" w:cs="Tahoma"/>
          <w:color w:val="000000"/>
          <w:sz w:val="24"/>
          <w:szCs w:val="24"/>
        </w:rPr>
        <w:t xml:space="preserve">, the Board’s standard response has been, as Lord Brown put it in </w:t>
      </w:r>
      <w:r w:rsidR="00496BD4" w:rsidRPr="005460E3">
        <w:rPr>
          <w:rFonts w:ascii="Tahoma" w:hAnsi="Tahoma" w:cs="Tahoma"/>
          <w:b/>
          <w:color w:val="000000"/>
          <w:sz w:val="24"/>
          <w:szCs w:val="24"/>
        </w:rPr>
        <w:t>Stewart v R</w:t>
      </w:r>
      <w:r w:rsidR="00496BD4">
        <w:rPr>
          <w:rStyle w:val="FootnoteReference"/>
          <w:rFonts w:ascii="Tahoma" w:hAnsi="Tahoma" w:cs="Tahoma"/>
          <w:color w:val="000000"/>
          <w:sz w:val="24"/>
          <w:szCs w:val="24"/>
        </w:rPr>
        <w:footnoteReference w:id="66"/>
      </w:r>
      <w:r w:rsidR="00496BD4">
        <w:rPr>
          <w:rFonts w:ascii="Tahoma" w:hAnsi="Tahoma" w:cs="Tahoma"/>
          <w:color w:val="000000"/>
          <w:sz w:val="24"/>
          <w:szCs w:val="24"/>
        </w:rPr>
        <w:t>,</w:t>
      </w:r>
      <w:r w:rsidR="00496BD4" w:rsidRPr="005460E3">
        <w:rPr>
          <w:rFonts w:ascii="Tahoma" w:hAnsi="Tahoma" w:cs="Tahoma"/>
          <w:color w:val="000000"/>
          <w:sz w:val="24"/>
          <w:szCs w:val="24"/>
        </w:rPr>
        <w:t xml:space="preserve"> “</w:t>
      </w:r>
      <w:r w:rsidR="00496BD4" w:rsidRPr="005460E3">
        <w:rPr>
          <w:rFonts w:ascii="Tahoma" w:hAnsi="Tahoma" w:cs="Tahoma"/>
          <w:bCs/>
          <w:color w:val="000000"/>
          <w:sz w:val="24"/>
          <w:szCs w:val="24"/>
        </w:rPr>
        <w:t>the credibility limb of the direction is likely to be altogether less helpful to the defendant in a case like this, in which he has chosen to make a statement from the dock (or, indeed, chosen simply to rely on pre-trial statements) than when he has given sworn evidence”. Similarly in</w:t>
      </w:r>
      <w:r w:rsidR="008F7FE2">
        <w:rPr>
          <w:rFonts w:ascii="Tahoma" w:hAnsi="Tahoma" w:cs="Tahoma"/>
          <w:color w:val="000000"/>
          <w:sz w:val="24"/>
          <w:szCs w:val="24"/>
        </w:rPr>
        <w:t xml:space="preserve"> </w:t>
      </w:r>
      <w:r w:rsidR="008F7FE2" w:rsidRPr="008F7FE2">
        <w:rPr>
          <w:rFonts w:ascii="Tahoma" w:hAnsi="Tahoma" w:cs="Tahoma"/>
          <w:b/>
          <w:color w:val="000000"/>
          <w:sz w:val="24"/>
          <w:szCs w:val="24"/>
        </w:rPr>
        <w:t>Lawrence</w:t>
      </w:r>
      <w:r w:rsidR="008F7FE2">
        <w:rPr>
          <w:rStyle w:val="FootnoteReference"/>
          <w:rFonts w:ascii="Tahoma" w:hAnsi="Tahoma" w:cs="Tahoma"/>
          <w:color w:val="000000"/>
          <w:sz w:val="24"/>
          <w:szCs w:val="24"/>
        </w:rPr>
        <w:footnoteReference w:id="67"/>
      </w:r>
      <w:r w:rsidR="008F7FE2" w:rsidRPr="008F7FE2">
        <w:rPr>
          <w:rFonts w:ascii="Tahoma" w:hAnsi="Tahoma" w:cs="Tahoma"/>
          <w:color w:val="000000"/>
          <w:sz w:val="24"/>
          <w:szCs w:val="24"/>
        </w:rPr>
        <w:t>, the most recent example of such a case</w:t>
      </w:r>
      <w:r w:rsidR="00496BD4">
        <w:rPr>
          <w:rFonts w:ascii="Tahoma" w:hAnsi="Tahoma" w:cs="Tahoma"/>
          <w:color w:val="000000"/>
          <w:sz w:val="24"/>
          <w:szCs w:val="24"/>
        </w:rPr>
        <w:t xml:space="preserve">, Lord </w:t>
      </w:r>
      <w:r w:rsidR="005460E3">
        <w:rPr>
          <w:rFonts w:ascii="Tahoma" w:hAnsi="Tahoma" w:cs="Tahoma"/>
          <w:color w:val="000000"/>
          <w:sz w:val="24"/>
          <w:szCs w:val="24"/>
        </w:rPr>
        <w:t>Hodge</w:t>
      </w:r>
      <w:r w:rsidR="00496BD4">
        <w:rPr>
          <w:rFonts w:ascii="Tahoma" w:hAnsi="Tahoma" w:cs="Tahoma"/>
          <w:color w:val="000000"/>
          <w:sz w:val="24"/>
          <w:szCs w:val="24"/>
        </w:rPr>
        <w:t xml:space="preserve"> observed </w:t>
      </w:r>
      <w:r w:rsidR="005460E3">
        <w:rPr>
          <w:rFonts w:ascii="Tahoma" w:hAnsi="Tahoma" w:cs="Tahoma"/>
          <w:color w:val="000000"/>
          <w:sz w:val="24"/>
          <w:szCs w:val="24"/>
        </w:rPr>
        <w:t>in relation to</w:t>
      </w:r>
      <w:r w:rsidR="00496BD4">
        <w:rPr>
          <w:rFonts w:ascii="Tahoma" w:hAnsi="Tahoma" w:cs="Tahoma"/>
          <w:color w:val="000000"/>
          <w:sz w:val="24"/>
          <w:szCs w:val="24"/>
        </w:rPr>
        <w:t xml:space="preserve"> the appellant</w:t>
      </w:r>
      <w:r w:rsidR="005460E3">
        <w:rPr>
          <w:rFonts w:ascii="Tahoma" w:hAnsi="Tahoma" w:cs="Tahoma"/>
          <w:color w:val="000000"/>
          <w:sz w:val="24"/>
          <w:szCs w:val="24"/>
        </w:rPr>
        <w:t>,</w:t>
      </w:r>
      <w:r w:rsidR="00496BD4">
        <w:rPr>
          <w:rFonts w:ascii="Tahoma" w:hAnsi="Tahoma" w:cs="Tahoma"/>
          <w:color w:val="000000"/>
          <w:sz w:val="24"/>
          <w:szCs w:val="24"/>
        </w:rPr>
        <w:t xml:space="preserve"> who did</w:t>
      </w:r>
      <w:bookmarkStart w:id="22" w:name="para23"/>
      <w:r w:rsidR="008F7FE2" w:rsidRPr="008F7FE2">
        <w:rPr>
          <w:rFonts w:ascii="Tahoma" w:hAnsi="Tahoma" w:cs="Tahoma"/>
          <w:bCs/>
          <w:color w:val="000000"/>
          <w:sz w:val="24"/>
          <w:szCs w:val="24"/>
        </w:rPr>
        <w:t xml:space="preserve"> not give evidence on oath</w:t>
      </w:r>
      <w:r w:rsidR="00496BD4">
        <w:rPr>
          <w:rFonts w:ascii="Tahoma" w:hAnsi="Tahoma" w:cs="Tahoma"/>
          <w:bCs/>
          <w:color w:val="000000"/>
          <w:sz w:val="24"/>
          <w:szCs w:val="24"/>
        </w:rPr>
        <w:t>, that a</w:t>
      </w:r>
      <w:r w:rsidR="008F7FE2" w:rsidRPr="008F7FE2">
        <w:rPr>
          <w:rFonts w:ascii="Tahoma" w:hAnsi="Tahoma" w:cs="Tahoma"/>
          <w:bCs/>
          <w:color w:val="000000"/>
          <w:sz w:val="24"/>
          <w:szCs w:val="24"/>
        </w:rPr>
        <w:t xml:space="preserve"> direction </w:t>
      </w:r>
      <w:r w:rsidR="00496BD4">
        <w:rPr>
          <w:rFonts w:ascii="Tahoma" w:hAnsi="Tahoma" w:cs="Tahoma"/>
          <w:bCs/>
          <w:color w:val="000000"/>
          <w:sz w:val="24"/>
          <w:szCs w:val="24"/>
        </w:rPr>
        <w:t>“</w:t>
      </w:r>
      <w:r w:rsidR="008F7FE2" w:rsidRPr="008F7FE2">
        <w:rPr>
          <w:rFonts w:ascii="Tahoma" w:hAnsi="Tahoma" w:cs="Tahoma"/>
          <w:bCs/>
          <w:color w:val="000000"/>
          <w:sz w:val="24"/>
          <w:szCs w:val="24"/>
        </w:rPr>
        <w:t>on the relevance of good character to his credibility would therefore have been of less significance than if he had</w:t>
      </w:r>
      <w:proofErr w:type="gramStart"/>
      <w:r w:rsidR="00496BD4">
        <w:rPr>
          <w:rFonts w:ascii="Tahoma" w:hAnsi="Tahoma" w:cs="Tahoma"/>
          <w:bCs/>
          <w:color w:val="000000"/>
          <w:sz w:val="24"/>
          <w:szCs w:val="24"/>
        </w:rPr>
        <w:t>…[</w:t>
      </w:r>
      <w:proofErr w:type="gramEnd"/>
      <w:r w:rsidR="00496BD4">
        <w:rPr>
          <w:rFonts w:ascii="Tahoma" w:hAnsi="Tahoma" w:cs="Tahoma"/>
          <w:bCs/>
          <w:color w:val="000000"/>
          <w:sz w:val="24"/>
          <w:szCs w:val="24"/>
        </w:rPr>
        <w:t>since]…</w:t>
      </w:r>
      <w:bookmarkEnd w:id="22"/>
      <w:r w:rsidR="008F7FE2" w:rsidRPr="008F7FE2">
        <w:rPr>
          <w:rFonts w:ascii="Tahoma" w:hAnsi="Tahoma" w:cs="Tahoma"/>
          <w:bCs/>
          <w:color w:val="000000"/>
          <w:sz w:val="24"/>
          <w:szCs w:val="24"/>
        </w:rPr>
        <w:t>as counsel would have known, the trial judge would have reminded the jury that the appellant had not submitted to cross-examination”</w:t>
      </w:r>
      <w:r w:rsidR="00496BD4">
        <w:rPr>
          <w:rFonts w:ascii="Tahoma" w:hAnsi="Tahoma" w:cs="Tahoma"/>
          <w:bCs/>
          <w:color w:val="000000"/>
          <w:sz w:val="24"/>
          <w:szCs w:val="24"/>
        </w:rPr>
        <w:t>.</w:t>
      </w:r>
      <w:r w:rsidR="008F7FE2" w:rsidRPr="008F7FE2">
        <w:rPr>
          <w:rFonts w:ascii="Tahoma" w:hAnsi="Tahoma" w:cs="Tahoma"/>
          <w:bCs/>
          <w:color w:val="000000"/>
          <w:sz w:val="24"/>
          <w:szCs w:val="24"/>
        </w:rPr>
        <w:t xml:space="preserve"> </w:t>
      </w:r>
    </w:p>
    <w:p w:rsidR="00024E89" w:rsidRDefault="0067474E" w:rsidP="001452EA">
      <w:pPr>
        <w:shd w:val="clear" w:color="auto" w:fill="FFFFFF"/>
        <w:spacing w:before="100" w:beforeAutospacing="1" w:after="100" w:afterAutospacing="1" w:line="480" w:lineRule="auto"/>
        <w:jc w:val="both"/>
        <w:rPr>
          <w:rFonts w:ascii="Tahoma" w:hAnsi="Tahoma" w:cs="Tahoma"/>
          <w:bCs/>
          <w:color w:val="000000"/>
          <w:sz w:val="24"/>
          <w:szCs w:val="24"/>
        </w:rPr>
      </w:pPr>
      <w:r>
        <w:rPr>
          <w:rFonts w:ascii="Tahoma" w:hAnsi="Tahoma" w:cs="Tahoma"/>
          <w:color w:val="000000"/>
          <w:sz w:val="24"/>
          <w:szCs w:val="24"/>
        </w:rPr>
        <w:t>3</w:t>
      </w:r>
      <w:r w:rsidR="0094522F">
        <w:rPr>
          <w:rFonts w:ascii="Tahoma" w:hAnsi="Tahoma" w:cs="Tahoma"/>
          <w:color w:val="000000"/>
          <w:sz w:val="24"/>
          <w:szCs w:val="24"/>
        </w:rPr>
        <w:t>8</w:t>
      </w:r>
      <w:r>
        <w:rPr>
          <w:rFonts w:ascii="Tahoma" w:hAnsi="Tahoma" w:cs="Tahoma"/>
          <w:color w:val="000000"/>
          <w:sz w:val="24"/>
          <w:szCs w:val="24"/>
        </w:rPr>
        <w:t xml:space="preserve">.   </w:t>
      </w:r>
      <w:r w:rsidRPr="0067474E">
        <w:rPr>
          <w:rFonts w:ascii="Tahoma" w:hAnsi="Tahoma" w:cs="Tahoma"/>
          <w:color w:val="000000"/>
          <w:sz w:val="24"/>
          <w:szCs w:val="24"/>
        </w:rPr>
        <w:t xml:space="preserve">Although </w:t>
      </w:r>
      <w:bookmarkStart w:id="23" w:name="para24"/>
      <w:r w:rsidRPr="0067474E">
        <w:rPr>
          <w:rFonts w:ascii="Tahoma" w:hAnsi="Tahoma" w:cs="Tahoma"/>
          <w:bCs/>
          <w:color w:val="000000"/>
          <w:sz w:val="24"/>
          <w:szCs w:val="24"/>
        </w:rPr>
        <w:t xml:space="preserve">the Board has stated on several occasions that it will not </w:t>
      </w:r>
      <w:r w:rsidR="00D652DE">
        <w:rPr>
          <w:rFonts w:ascii="Tahoma" w:hAnsi="Tahoma" w:cs="Tahoma"/>
          <w:bCs/>
          <w:color w:val="000000"/>
          <w:sz w:val="24"/>
          <w:szCs w:val="24"/>
        </w:rPr>
        <w:t xml:space="preserve">ordinarily </w:t>
      </w:r>
      <w:r w:rsidRPr="0067474E">
        <w:rPr>
          <w:rFonts w:ascii="Tahoma" w:hAnsi="Tahoma" w:cs="Tahoma"/>
          <w:bCs/>
          <w:color w:val="000000"/>
          <w:sz w:val="24"/>
          <w:szCs w:val="24"/>
        </w:rPr>
        <w:t>entertain allegations of incompetence against counsel which are raised for the first time before it</w:t>
      </w:r>
      <w:bookmarkEnd w:id="23"/>
      <w:r w:rsidR="00D652DE">
        <w:rPr>
          <w:rStyle w:val="FootnoteReference"/>
          <w:rFonts w:ascii="Tahoma" w:hAnsi="Tahoma" w:cs="Tahoma"/>
          <w:bCs/>
          <w:color w:val="000000"/>
          <w:sz w:val="24"/>
          <w:szCs w:val="24"/>
        </w:rPr>
        <w:footnoteReference w:id="68"/>
      </w:r>
      <w:r w:rsidRPr="0067474E">
        <w:rPr>
          <w:rStyle w:val="apple-converted-space"/>
          <w:rFonts w:ascii="Tahoma" w:hAnsi="Tahoma" w:cs="Tahoma"/>
          <w:bCs/>
          <w:color w:val="000000"/>
          <w:sz w:val="24"/>
          <w:szCs w:val="24"/>
        </w:rPr>
        <w:t xml:space="preserve">, </w:t>
      </w:r>
      <w:r w:rsidR="00D652DE">
        <w:rPr>
          <w:rStyle w:val="apple-converted-space"/>
          <w:rFonts w:ascii="Tahoma" w:hAnsi="Tahoma" w:cs="Tahoma"/>
          <w:bCs/>
          <w:color w:val="000000"/>
          <w:sz w:val="24"/>
          <w:szCs w:val="24"/>
        </w:rPr>
        <w:t xml:space="preserve">it is clear that in an appropriate case it will not shrink from doing so if the circumstances are such as to suggest that counsel’s action – or inaction - may </w:t>
      </w:r>
      <w:r w:rsidR="00766C16">
        <w:rPr>
          <w:rStyle w:val="apple-converted-space"/>
          <w:rFonts w:ascii="Tahoma" w:hAnsi="Tahoma" w:cs="Tahoma"/>
          <w:bCs/>
          <w:color w:val="000000"/>
          <w:sz w:val="24"/>
          <w:szCs w:val="24"/>
        </w:rPr>
        <w:t xml:space="preserve">have </w:t>
      </w:r>
      <w:r w:rsidR="00D652DE">
        <w:rPr>
          <w:rStyle w:val="apple-converted-space"/>
          <w:rFonts w:ascii="Tahoma" w:hAnsi="Tahoma" w:cs="Tahoma"/>
          <w:bCs/>
          <w:color w:val="000000"/>
          <w:sz w:val="24"/>
          <w:szCs w:val="24"/>
        </w:rPr>
        <w:t>resulted in a miscarriage of justice.</w:t>
      </w:r>
      <w:r w:rsidR="00C47AB7">
        <w:rPr>
          <w:rStyle w:val="apple-converted-space"/>
          <w:rFonts w:ascii="Tahoma" w:hAnsi="Tahoma" w:cs="Tahoma"/>
          <w:bCs/>
          <w:color w:val="000000"/>
          <w:sz w:val="24"/>
          <w:szCs w:val="24"/>
        </w:rPr>
        <w:t xml:space="preserve"> The </w:t>
      </w:r>
      <w:r w:rsidR="00766C16">
        <w:rPr>
          <w:rStyle w:val="apple-converted-space"/>
          <w:rFonts w:ascii="Tahoma" w:hAnsi="Tahoma" w:cs="Tahoma"/>
          <w:bCs/>
          <w:color w:val="000000"/>
          <w:sz w:val="24"/>
          <w:szCs w:val="24"/>
        </w:rPr>
        <w:t xml:space="preserve">question is fully dealt with </w:t>
      </w:r>
      <w:r w:rsidR="00C47AB7">
        <w:rPr>
          <w:rStyle w:val="apple-converted-space"/>
          <w:rFonts w:ascii="Tahoma" w:hAnsi="Tahoma" w:cs="Tahoma"/>
          <w:bCs/>
          <w:color w:val="000000"/>
          <w:sz w:val="24"/>
          <w:szCs w:val="24"/>
        </w:rPr>
        <w:t xml:space="preserve">in Lord </w:t>
      </w:r>
      <w:proofErr w:type="spellStart"/>
      <w:r w:rsidR="00C47AB7">
        <w:rPr>
          <w:rStyle w:val="apple-converted-space"/>
          <w:rFonts w:ascii="Tahoma" w:hAnsi="Tahoma" w:cs="Tahoma"/>
          <w:bCs/>
          <w:color w:val="000000"/>
          <w:sz w:val="24"/>
          <w:szCs w:val="24"/>
        </w:rPr>
        <w:t>Mance’s</w:t>
      </w:r>
      <w:proofErr w:type="spellEnd"/>
      <w:r w:rsidR="00C47AB7">
        <w:rPr>
          <w:rStyle w:val="apple-converted-space"/>
          <w:rFonts w:ascii="Tahoma" w:hAnsi="Tahoma" w:cs="Tahoma"/>
          <w:bCs/>
          <w:color w:val="000000"/>
          <w:sz w:val="24"/>
          <w:szCs w:val="24"/>
        </w:rPr>
        <w:t xml:space="preserve"> judgment in </w:t>
      </w:r>
      <w:r w:rsidR="00C47AB7" w:rsidRPr="00C47AB7">
        <w:rPr>
          <w:rStyle w:val="apple-converted-space"/>
          <w:rFonts w:ascii="Tahoma" w:hAnsi="Tahoma" w:cs="Tahoma"/>
          <w:b/>
          <w:bCs/>
          <w:color w:val="000000"/>
          <w:sz w:val="24"/>
          <w:szCs w:val="24"/>
        </w:rPr>
        <w:t>Campbell</w:t>
      </w:r>
      <w:r w:rsidR="00C47AB7">
        <w:rPr>
          <w:rStyle w:val="FootnoteReference"/>
          <w:rFonts w:ascii="Tahoma" w:hAnsi="Tahoma" w:cs="Tahoma"/>
          <w:bCs/>
          <w:color w:val="000000"/>
          <w:sz w:val="24"/>
          <w:szCs w:val="24"/>
        </w:rPr>
        <w:footnoteReference w:id="69"/>
      </w:r>
      <w:r w:rsidR="00766C16" w:rsidRPr="00766C16">
        <w:rPr>
          <w:rStyle w:val="apple-converted-space"/>
          <w:rFonts w:ascii="Tahoma" w:hAnsi="Tahoma" w:cs="Tahoma"/>
          <w:bCs/>
          <w:color w:val="000000"/>
          <w:sz w:val="24"/>
          <w:szCs w:val="24"/>
        </w:rPr>
        <w:t>, in which it was reiterated that, b</w:t>
      </w:r>
      <w:r w:rsidR="00C47AB7" w:rsidRPr="00766C16">
        <w:rPr>
          <w:rFonts w:ascii="Tahoma" w:hAnsi="Tahoma" w:cs="Tahoma"/>
          <w:bCs/>
          <w:color w:val="000000"/>
          <w:sz w:val="24"/>
          <w:szCs w:val="24"/>
        </w:rPr>
        <w:t>ehind this reluctance lies</w:t>
      </w:r>
      <w:r w:rsidR="00766C16" w:rsidRPr="00766C16">
        <w:rPr>
          <w:rFonts w:ascii="Tahoma" w:hAnsi="Tahoma" w:cs="Tahoma"/>
          <w:bCs/>
          <w:color w:val="000000"/>
          <w:sz w:val="24"/>
          <w:szCs w:val="24"/>
        </w:rPr>
        <w:t xml:space="preserve"> an </w:t>
      </w:r>
      <w:r w:rsidR="00C47AB7" w:rsidRPr="00766C16">
        <w:rPr>
          <w:rFonts w:ascii="Tahoma" w:hAnsi="Tahoma" w:cs="Tahoma"/>
          <w:bCs/>
          <w:color w:val="000000"/>
          <w:sz w:val="24"/>
          <w:szCs w:val="24"/>
        </w:rPr>
        <w:t xml:space="preserve">awareness </w:t>
      </w:r>
      <w:r w:rsidR="00766C16" w:rsidRPr="00766C16">
        <w:rPr>
          <w:rFonts w:ascii="Tahoma" w:hAnsi="Tahoma" w:cs="Tahoma"/>
          <w:bCs/>
          <w:color w:val="000000"/>
          <w:sz w:val="24"/>
          <w:szCs w:val="24"/>
        </w:rPr>
        <w:t>“</w:t>
      </w:r>
      <w:r w:rsidR="00C47AB7" w:rsidRPr="00766C16">
        <w:rPr>
          <w:rFonts w:ascii="Tahoma" w:hAnsi="Tahoma" w:cs="Tahoma"/>
          <w:bCs/>
          <w:color w:val="000000"/>
          <w:sz w:val="24"/>
          <w:szCs w:val="24"/>
        </w:rPr>
        <w:t xml:space="preserve">of </w:t>
      </w:r>
      <w:r w:rsidR="00766C16" w:rsidRPr="00766C16">
        <w:rPr>
          <w:rFonts w:ascii="Tahoma" w:hAnsi="Tahoma" w:cs="Tahoma"/>
          <w:bCs/>
          <w:color w:val="000000"/>
          <w:sz w:val="24"/>
          <w:szCs w:val="24"/>
        </w:rPr>
        <w:t>t</w:t>
      </w:r>
      <w:r w:rsidR="00C47AB7" w:rsidRPr="00766C16">
        <w:rPr>
          <w:rFonts w:ascii="Tahoma" w:hAnsi="Tahoma" w:cs="Tahoma"/>
          <w:bCs/>
          <w:color w:val="000000"/>
          <w:sz w:val="24"/>
          <w:szCs w:val="24"/>
        </w:rPr>
        <w:t xml:space="preserve">he ease with which it is possible for a convicted defendant to invent, or </w:t>
      </w:r>
      <w:r w:rsidR="00C47AB7" w:rsidRPr="00766C16">
        <w:rPr>
          <w:rFonts w:ascii="Tahoma" w:hAnsi="Tahoma" w:cs="Tahoma"/>
          <w:bCs/>
          <w:color w:val="000000"/>
          <w:sz w:val="24"/>
          <w:szCs w:val="24"/>
        </w:rPr>
        <w:lastRenderedPageBreak/>
        <w:t>indeed after the event to persuade himself or herself of, allegations of incompetence, as well as the practical difficulty of investigating such allegations at so late a stage, when they should have been raised before the domestic Court of Appeal</w:t>
      </w:r>
      <w:r w:rsidR="00766C16" w:rsidRPr="00766C16">
        <w:rPr>
          <w:rFonts w:ascii="Tahoma" w:hAnsi="Tahoma" w:cs="Tahoma"/>
          <w:bCs/>
          <w:color w:val="000000"/>
          <w:sz w:val="24"/>
          <w:szCs w:val="24"/>
        </w:rPr>
        <w:t>”</w:t>
      </w:r>
      <w:r w:rsidR="00C47AB7" w:rsidRPr="00766C16">
        <w:rPr>
          <w:rFonts w:ascii="Tahoma" w:hAnsi="Tahoma" w:cs="Tahoma"/>
          <w:bCs/>
          <w:color w:val="000000"/>
          <w:sz w:val="24"/>
          <w:szCs w:val="24"/>
        </w:rPr>
        <w:t>.</w:t>
      </w:r>
      <w:r w:rsidR="001452EA">
        <w:rPr>
          <w:rFonts w:ascii="Tahoma" w:hAnsi="Tahoma" w:cs="Tahoma"/>
          <w:bCs/>
          <w:color w:val="000000"/>
          <w:sz w:val="24"/>
          <w:szCs w:val="24"/>
        </w:rPr>
        <w:t xml:space="preserve"> </w:t>
      </w:r>
      <w:bookmarkStart w:id="24" w:name="para40"/>
      <w:r w:rsidR="001452EA">
        <w:rPr>
          <w:rFonts w:ascii="Tahoma" w:hAnsi="Tahoma" w:cs="Tahoma"/>
          <w:bCs/>
          <w:color w:val="000000"/>
          <w:sz w:val="24"/>
          <w:szCs w:val="24"/>
        </w:rPr>
        <w:t xml:space="preserve">However, as Lord </w:t>
      </w:r>
      <w:proofErr w:type="spellStart"/>
      <w:r w:rsidR="001452EA">
        <w:rPr>
          <w:rFonts w:ascii="Tahoma" w:hAnsi="Tahoma" w:cs="Tahoma"/>
          <w:bCs/>
          <w:color w:val="000000"/>
          <w:sz w:val="24"/>
          <w:szCs w:val="24"/>
        </w:rPr>
        <w:t>Mance</w:t>
      </w:r>
      <w:proofErr w:type="spellEnd"/>
      <w:r w:rsidR="001452EA">
        <w:rPr>
          <w:rFonts w:ascii="Tahoma" w:hAnsi="Tahoma" w:cs="Tahoma"/>
          <w:bCs/>
          <w:color w:val="000000"/>
          <w:sz w:val="24"/>
          <w:szCs w:val="24"/>
        </w:rPr>
        <w:t xml:space="preserve"> indicated, there</w:t>
      </w:r>
      <w:r w:rsidR="00C47AB7" w:rsidRPr="00766C16">
        <w:rPr>
          <w:rFonts w:ascii="Tahoma" w:hAnsi="Tahoma" w:cs="Tahoma"/>
          <w:bCs/>
          <w:color w:val="000000"/>
          <w:sz w:val="24"/>
          <w:szCs w:val="24"/>
        </w:rPr>
        <w:t xml:space="preserve"> are c</w:t>
      </w:r>
      <w:r w:rsidR="000304B5">
        <w:rPr>
          <w:rFonts w:ascii="Tahoma" w:hAnsi="Tahoma" w:cs="Tahoma"/>
          <w:bCs/>
          <w:color w:val="000000"/>
          <w:sz w:val="24"/>
          <w:szCs w:val="24"/>
        </w:rPr>
        <w:t>ases</w:t>
      </w:r>
      <w:r w:rsidR="00C47AB7" w:rsidRPr="00766C16">
        <w:rPr>
          <w:rFonts w:ascii="Tahoma" w:hAnsi="Tahoma" w:cs="Tahoma"/>
          <w:bCs/>
          <w:color w:val="000000"/>
          <w:sz w:val="24"/>
          <w:szCs w:val="24"/>
        </w:rPr>
        <w:t xml:space="preserve"> in which the Board has been in a position to consider such allegations</w:t>
      </w:r>
      <w:r w:rsidR="000304B5">
        <w:rPr>
          <w:rFonts w:ascii="Tahoma" w:hAnsi="Tahoma" w:cs="Tahoma"/>
          <w:bCs/>
          <w:color w:val="000000"/>
          <w:sz w:val="24"/>
          <w:szCs w:val="24"/>
        </w:rPr>
        <w:t>,</w:t>
      </w:r>
      <w:r w:rsidR="00C47AB7" w:rsidRPr="00766C16">
        <w:rPr>
          <w:rFonts w:ascii="Tahoma" w:hAnsi="Tahoma" w:cs="Tahoma"/>
          <w:bCs/>
          <w:color w:val="000000"/>
          <w:sz w:val="24"/>
          <w:szCs w:val="24"/>
        </w:rPr>
        <w:t xml:space="preserve"> even when raised for the first time before it.</w:t>
      </w:r>
      <w:r w:rsidR="00024E89">
        <w:rPr>
          <w:rFonts w:ascii="Tahoma" w:hAnsi="Tahoma" w:cs="Tahoma"/>
          <w:bCs/>
          <w:color w:val="000000"/>
          <w:sz w:val="24"/>
          <w:szCs w:val="24"/>
        </w:rPr>
        <w:t xml:space="preserve"> Each case will therefore turn to a large extent on its own circumstances, as is clear from Lord </w:t>
      </w:r>
      <w:proofErr w:type="spellStart"/>
      <w:r w:rsidR="00024E89">
        <w:rPr>
          <w:rFonts w:ascii="Tahoma" w:hAnsi="Tahoma" w:cs="Tahoma"/>
          <w:bCs/>
          <w:color w:val="000000"/>
          <w:sz w:val="24"/>
          <w:szCs w:val="24"/>
        </w:rPr>
        <w:t>Mance’s</w:t>
      </w:r>
      <w:proofErr w:type="spellEnd"/>
      <w:r w:rsidR="00024E89">
        <w:rPr>
          <w:rFonts w:ascii="Tahoma" w:hAnsi="Tahoma" w:cs="Tahoma"/>
          <w:bCs/>
          <w:color w:val="000000"/>
          <w:sz w:val="24"/>
          <w:szCs w:val="24"/>
        </w:rPr>
        <w:t xml:space="preserve"> brief consideration</w:t>
      </w:r>
      <w:r w:rsidR="00024E89">
        <w:rPr>
          <w:rStyle w:val="FootnoteReference"/>
          <w:rFonts w:ascii="Tahoma" w:hAnsi="Tahoma" w:cs="Tahoma"/>
          <w:bCs/>
          <w:color w:val="000000"/>
          <w:sz w:val="24"/>
          <w:szCs w:val="24"/>
        </w:rPr>
        <w:footnoteReference w:id="70"/>
      </w:r>
      <w:r w:rsidR="00024E89">
        <w:rPr>
          <w:rFonts w:ascii="Tahoma" w:hAnsi="Tahoma" w:cs="Tahoma"/>
          <w:bCs/>
          <w:color w:val="000000"/>
          <w:sz w:val="24"/>
          <w:szCs w:val="24"/>
        </w:rPr>
        <w:t xml:space="preserve"> of some of the cases which the Board had had to consider before:</w:t>
      </w:r>
    </w:p>
    <w:p w:rsidR="00C47AB7" w:rsidRPr="00766C16" w:rsidRDefault="00024E89" w:rsidP="00024E89">
      <w:pPr>
        <w:shd w:val="clear" w:color="auto" w:fill="FFFFFF"/>
        <w:spacing w:before="100" w:beforeAutospacing="1" w:after="100" w:afterAutospacing="1" w:line="240" w:lineRule="auto"/>
        <w:ind w:left="1440" w:right="1440"/>
        <w:jc w:val="both"/>
        <w:rPr>
          <w:rFonts w:ascii="Tahoma" w:hAnsi="Tahoma" w:cs="Tahoma"/>
          <w:bCs/>
          <w:color w:val="000000"/>
          <w:sz w:val="24"/>
          <w:szCs w:val="24"/>
        </w:rPr>
      </w:pPr>
      <w:r>
        <w:rPr>
          <w:rFonts w:ascii="Tahoma" w:hAnsi="Tahoma" w:cs="Tahoma"/>
          <w:bCs/>
          <w:color w:val="000000"/>
          <w:sz w:val="24"/>
          <w:szCs w:val="24"/>
        </w:rPr>
        <w:t>“</w:t>
      </w:r>
      <w:r w:rsidR="00C47AB7" w:rsidRPr="00766C16">
        <w:rPr>
          <w:rFonts w:ascii="Tahoma" w:hAnsi="Tahoma" w:cs="Tahoma"/>
          <w:bCs/>
          <w:color w:val="000000"/>
          <w:sz w:val="24"/>
          <w:szCs w:val="24"/>
        </w:rPr>
        <w:t>In</w:t>
      </w:r>
      <w:r w:rsidR="00C47AB7" w:rsidRPr="00766C16">
        <w:rPr>
          <w:rStyle w:val="apple-converted-space"/>
          <w:rFonts w:ascii="Tahoma" w:hAnsi="Tahoma" w:cs="Tahoma"/>
          <w:bCs/>
          <w:color w:val="000000"/>
          <w:sz w:val="24"/>
          <w:szCs w:val="24"/>
        </w:rPr>
        <w:t> </w:t>
      </w:r>
      <w:r w:rsidR="00C47AB7" w:rsidRPr="00766C16">
        <w:rPr>
          <w:rFonts w:ascii="Tahoma" w:hAnsi="Tahoma" w:cs="Tahoma"/>
          <w:bCs/>
          <w:i/>
          <w:iCs/>
          <w:color w:val="000000"/>
          <w:sz w:val="24"/>
          <w:szCs w:val="24"/>
        </w:rPr>
        <w:t>Bethel</w:t>
      </w:r>
      <w:r w:rsidR="00C47AB7" w:rsidRPr="00766C16">
        <w:rPr>
          <w:rStyle w:val="apple-converted-space"/>
          <w:rFonts w:ascii="Tahoma" w:hAnsi="Tahoma" w:cs="Tahoma"/>
          <w:bCs/>
          <w:i/>
          <w:iCs/>
          <w:color w:val="000000"/>
          <w:sz w:val="24"/>
          <w:szCs w:val="24"/>
        </w:rPr>
        <w:t> </w:t>
      </w:r>
      <w:proofErr w:type="spellStart"/>
      <w:r w:rsidR="00C47AB7" w:rsidRPr="00766C16">
        <w:rPr>
          <w:rFonts w:ascii="Tahoma" w:hAnsi="Tahoma" w:cs="Tahoma"/>
          <w:bCs/>
          <w:color w:val="000000"/>
          <w:sz w:val="24"/>
          <w:szCs w:val="24"/>
        </w:rPr>
        <w:t>defence</w:t>
      </w:r>
      <w:proofErr w:type="spellEnd"/>
      <w:r w:rsidR="00C47AB7" w:rsidRPr="00766C16">
        <w:rPr>
          <w:rFonts w:ascii="Tahoma" w:hAnsi="Tahoma" w:cs="Tahoma"/>
          <w:bCs/>
          <w:color w:val="000000"/>
          <w:sz w:val="24"/>
          <w:szCs w:val="24"/>
        </w:rPr>
        <w:t xml:space="preserve"> counsel's affidavit led the Board to remit the case to the Court of Appeal for investigation and in</w:t>
      </w:r>
      <w:r w:rsidR="00C47AB7" w:rsidRPr="00766C16">
        <w:rPr>
          <w:rStyle w:val="apple-converted-space"/>
          <w:rFonts w:ascii="Tahoma" w:hAnsi="Tahoma" w:cs="Tahoma"/>
          <w:bCs/>
          <w:color w:val="000000"/>
          <w:sz w:val="24"/>
          <w:szCs w:val="24"/>
        </w:rPr>
        <w:t> </w:t>
      </w:r>
      <w:proofErr w:type="spellStart"/>
      <w:r w:rsidR="00C47AB7" w:rsidRPr="00766C16">
        <w:rPr>
          <w:rFonts w:ascii="Tahoma" w:hAnsi="Tahoma" w:cs="Tahoma"/>
          <w:bCs/>
          <w:i/>
          <w:iCs/>
          <w:color w:val="000000"/>
          <w:sz w:val="24"/>
          <w:szCs w:val="24"/>
        </w:rPr>
        <w:t>Teeluck</w:t>
      </w:r>
      <w:proofErr w:type="spellEnd"/>
      <w:r w:rsidR="00C47AB7" w:rsidRPr="00766C16">
        <w:rPr>
          <w:rStyle w:val="apple-converted-space"/>
          <w:rFonts w:ascii="Tahoma" w:hAnsi="Tahoma" w:cs="Tahoma"/>
          <w:bCs/>
          <w:i/>
          <w:iCs/>
          <w:color w:val="000000"/>
          <w:sz w:val="24"/>
          <w:szCs w:val="24"/>
        </w:rPr>
        <w:t> </w:t>
      </w:r>
      <w:r w:rsidR="00C47AB7" w:rsidRPr="00766C16">
        <w:rPr>
          <w:rFonts w:ascii="Tahoma" w:hAnsi="Tahoma" w:cs="Tahoma"/>
          <w:bCs/>
          <w:color w:val="000000"/>
          <w:sz w:val="24"/>
          <w:szCs w:val="24"/>
        </w:rPr>
        <w:t xml:space="preserve">the Board entertained the issue because of its importance and because </w:t>
      </w:r>
      <w:proofErr w:type="spellStart"/>
      <w:r w:rsidR="00C47AB7" w:rsidRPr="00766C16">
        <w:rPr>
          <w:rFonts w:ascii="Tahoma" w:hAnsi="Tahoma" w:cs="Tahoma"/>
          <w:bCs/>
          <w:color w:val="000000"/>
          <w:sz w:val="24"/>
          <w:szCs w:val="24"/>
        </w:rPr>
        <w:t>defence</w:t>
      </w:r>
      <w:proofErr w:type="spellEnd"/>
      <w:r w:rsidR="00C47AB7" w:rsidRPr="00766C16">
        <w:rPr>
          <w:rFonts w:ascii="Tahoma" w:hAnsi="Tahoma" w:cs="Tahoma"/>
          <w:bCs/>
          <w:color w:val="000000"/>
          <w:sz w:val="24"/>
          <w:szCs w:val="24"/>
        </w:rPr>
        <w:t xml:space="preserve"> counsel's frankness enabled it to determine the issue without having to deal with any conflicts of fact, and allowed the appeal. On the other side of the line are cases where there is no sufficient information to enable the Board to form a view as to why evidence of good character was not adduced: see</w:t>
      </w:r>
      <w:r w:rsidR="00C47AB7" w:rsidRPr="00766C16">
        <w:rPr>
          <w:rStyle w:val="apple-converted-space"/>
          <w:rFonts w:ascii="Tahoma" w:hAnsi="Tahoma" w:cs="Tahoma"/>
          <w:bCs/>
          <w:color w:val="000000"/>
          <w:sz w:val="24"/>
          <w:szCs w:val="24"/>
        </w:rPr>
        <w:t> </w:t>
      </w:r>
      <w:r w:rsidR="00C47AB7" w:rsidRPr="00766C16">
        <w:rPr>
          <w:rFonts w:ascii="Tahoma" w:hAnsi="Tahoma" w:cs="Tahoma"/>
          <w:bCs/>
          <w:i/>
          <w:iCs/>
          <w:color w:val="000000"/>
          <w:sz w:val="24"/>
          <w:szCs w:val="24"/>
        </w:rPr>
        <w:t>Taylor v The Queen</w:t>
      </w:r>
      <w:r w:rsidR="00C47AB7" w:rsidRPr="00766C16">
        <w:rPr>
          <w:rStyle w:val="apple-converted-space"/>
          <w:rFonts w:ascii="Tahoma" w:hAnsi="Tahoma" w:cs="Tahoma"/>
          <w:bCs/>
          <w:i/>
          <w:iCs/>
          <w:color w:val="000000"/>
          <w:sz w:val="24"/>
          <w:szCs w:val="24"/>
        </w:rPr>
        <w:t> </w:t>
      </w:r>
      <w:bookmarkEnd w:id="24"/>
      <w:r w:rsidR="00D611B9" w:rsidRPr="00766C16">
        <w:rPr>
          <w:rFonts w:ascii="Tahoma" w:hAnsi="Tahoma" w:cs="Tahoma"/>
          <w:bCs/>
          <w:color w:val="000000"/>
          <w:sz w:val="24"/>
          <w:szCs w:val="24"/>
        </w:rPr>
        <w:fldChar w:fldCharType="begin"/>
      </w:r>
      <w:r w:rsidR="00C47AB7" w:rsidRPr="00766C16">
        <w:rPr>
          <w:rFonts w:ascii="Tahoma" w:hAnsi="Tahoma" w:cs="Tahoma"/>
          <w:bCs/>
          <w:color w:val="000000"/>
          <w:sz w:val="24"/>
          <w:szCs w:val="24"/>
        </w:rPr>
        <w:instrText xml:space="preserve"> HYPERLINK "http://www.bailii.org/uk/cases/UKPC/2006/12.html" \o "Link to BAILII version" </w:instrText>
      </w:r>
      <w:r w:rsidR="00D611B9" w:rsidRPr="00766C16">
        <w:rPr>
          <w:rFonts w:ascii="Tahoma" w:hAnsi="Tahoma" w:cs="Tahoma"/>
          <w:bCs/>
          <w:color w:val="000000"/>
          <w:sz w:val="24"/>
          <w:szCs w:val="24"/>
        </w:rPr>
        <w:fldChar w:fldCharType="separate"/>
      </w:r>
      <w:r w:rsidR="00C47AB7" w:rsidRPr="00766C16">
        <w:rPr>
          <w:rStyle w:val="Hyperlink"/>
          <w:rFonts w:ascii="Tahoma" w:hAnsi="Tahoma" w:cs="Tahoma"/>
          <w:bCs/>
          <w:sz w:val="24"/>
          <w:szCs w:val="24"/>
        </w:rPr>
        <w:t>[2006] UKPC 12</w:t>
      </w:r>
      <w:r w:rsidR="00D611B9" w:rsidRPr="00766C16">
        <w:rPr>
          <w:rFonts w:ascii="Tahoma" w:hAnsi="Tahoma" w:cs="Tahoma"/>
          <w:bCs/>
          <w:color w:val="000000"/>
          <w:sz w:val="24"/>
          <w:szCs w:val="24"/>
        </w:rPr>
        <w:fldChar w:fldCharType="end"/>
      </w:r>
      <w:r w:rsidR="00C47AB7" w:rsidRPr="00766C16">
        <w:rPr>
          <w:rFonts w:ascii="Tahoma" w:hAnsi="Tahoma" w:cs="Tahoma"/>
          <w:bCs/>
          <w:color w:val="000000"/>
          <w:sz w:val="24"/>
          <w:szCs w:val="24"/>
        </w:rPr>
        <w:t>, para 21 and</w:t>
      </w:r>
      <w:r w:rsidR="00C47AB7" w:rsidRPr="00766C16">
        <w:rPr>
          <w:rStyle w:val="apple-converted-space"/>
          <w:rFonts w:ascii="Tahoma" w:hAnsi="Tahoma" w:cs="Tahoma"/>
          <w:bCs/>
          <w:color w:val="000000"/>
          <w:sz w:val="24"/>
          <w:szCs w:val="24"/>
        </w:rPr>
        <w:t> </w:t>
      </w:r>
      <w:proofErr w:type="spellStart"/>
      <w:r w:rsidR="00C47AB7" w:rsidRPr="00766C16">
        <w:rPr>
          <w:rFonts w:ascii="Tahoma" w:hAnsi="Tahoma" w:cs="Tahoma"/>
          <w:bCs/>
          <w:i/>
          <w:iCs/>
          <w:color w:val="000000"/>
          <w:sz w:val="24"/>
          <w:szCs w:val="24"/>
        </w:rPr>
        <w:t>Ramdhanie</w:t>
      </w:r>
      <w:proofErr w:type="spellEnd"/>
      <w:r w:rsidR="00C47AB7" w:rsidRPr="00766C16">
        <w:rPr>
          <w:rFonts w:ascii="Tahoma" w:hAnsi="Tahoma" w:cs="Tahoma"/>
          <w:bCs/>
          <w:color w:val="000000"/>
          <w:sz w:val="24"/>
          <w:szCs w:val="24"/>
        </w:rPr>
        <w:t xml:space="preserve">, paras 14-17, where, despite the obvious importance of credibility, the Board was </w:t>
      </w:r>
      <w:r>
        <w:rPr>
          <w:rFonts w:ascii="Tahoma" w:hAnsi="Tahoma" w:cs="Tahoma"/>
          <w:bCs/>
          <w:color w:val="000000"/>
          <w:sz w:val="24"/>
          <w:szCs w:val="24"/>
        </w:rPr>
        <w:t>‘</w:t>
      </w:r>
      <w:r w:rsidR="00C47AB7" w:rsidRPr="00766C16">
        <w:rPr>
          <w:rFonts w:ascii="Tahoma" w:hAnsi="Tahoma" w:cs="Tahoma"/>
          <w:bCs/>
          <w:color w:val="000000"/>
          <w:sz w:val="24"/>
          <w:szCs w:val="24"/>
        </w:rPr>
        <w:t>not prepared, on the exiguous and unsatisfactory material before it, to draw the speculative conclusion</w:t>
      </w:r>
      <w:r>
        <w:rPr>
          <w:rFonts w:ascii="Tahoma" w:hAnsi="Tahoma" w:cs="Tahoma"/>
          <w:bCs/>
          <w:color w:val="000000"/>
          <w:sz w:val="24"/>
          <w:szCs w:val="24"/>
        </w:rPr>
        <w:t>’</w:t>
      </w:r>
      <w:r w:rsidR="00C47AB7" w:rsidRPr="00766C16">
        <w:rPr>
          <w:rFonts w:ascii="Tahoma" w:hAnsi="Tahoma" w:cs="Tahoma"/>
          <w:bCs/>
          <w:color w:val="000000"/>
          <w:sz w:val="24"/>
          <w:szCs w:val="24"/>
        </w:rPr>
        <w:t xml:space="preserve"> that there had been a mistake or misunderstanding by counsel, as opposed to </w:t>
      </w:r>
      <w:r>
        <w:rPr>
          <w:rFonts w:ascii="Tahoma" w:hAnsi="Tahoma" w:cs="Tahoma"/>
          <w:bCs/>
          <w:color w:val="000000"/>
          <w:sz w:val="24"/>
          <w:szCs w:val="24"/>
        </w:rPr>
        <w:t>‘</w:t>
      </w:r>
      <w:r w:rsidR="00C47AB7" w:rsidRPr="00766C16">
        <w:rPr>
          <w:rFonts w:ascii="Tahoma" w:hAnsi="Tahoma" w:cs="Tahoma"/>
          <w:bCs/>
          <w:color w:val="000000"/>
          <w:sz w:val="24"/>
          <w:szCs w:val="24"/>
        </w:rPr>
        <w:t>a conscious decision based on (for example) well-founded fear</w:t>
      </w:r>
      <w:r>
        <w:rPr>
          <w:rFonts w:ascii="Tahoma" w:hAnsi="Tahoma" w:cs="Tahoma"/>
          <w:bCs/>
          <w:color w:val="000000"/>
          <w:sz w:val="24"/>
          <w:szCs w:val="24"/>
        </w:rPr>
        <w:t>’</w:t>
      </w:r>
      <w:r w:rsidR="00C47AB7" w:rsidRPr="00766C16">
        <w:rPr>
          <w:rFonts w:ascii="Tahoma" w:hAnsi="Tahoma" w:cs="Tahoma"/>
          <w:bCs/>
          <w:color w:val="000000"/>
          <w:sz w:val="24"/>
          <w:szCs w:val="24"/>
        </w:rPr>
        <w:t xml:space="preserve"> that the prosecution had material to rebut any suggestion of good character.</w:t>
      </w:r>
      <w:r>
        <w:rPr>
          <w:rFonts w:ascii="Tahoma" w:hAnsi="Tahoma" w:cs="Tahoma"/>
          <w:bCs/>
          <w:color w:val="000000"/>
          <w:sz w:val="24"/>
          <w:szCs w:val="24"/>
        </w:rPr>
        <w:t>”</w:t>
      </w:r>
    </w:p>
    <w:p w:rsidR="00024E89" w:rsidRDefault="00024E89" w:rsidP="005460E3">
      <w:pPr>
        <w:spacing w:after="0" w:line="240" w:lineRule="auto"/>
        <w:ind w:left="360"/>
        <w:jc w:val="both"/>
        <w:rPr>
          <w:rFonts w:ascii="Tahoma" w:hAnsi="Tahoma" w:cs="Tahoma"/>
          <w:bCs/>
          <w:color w:val="000000"/>
          <w:sz w:val="24"/>
          <w:szCs w:val="24"/>
        </w:rPr>
      </w:pPr>
      <w:bookmarkStart w:id="25" w:name="para41"/>
    </w:p>
    <w:p w:rsidR="000304B5" w:rsidRDefault="00024E89" w:rsidP="00024E89">
      <w:pPr>
        <w:spacing w:before="100" w:beforeAutospacing="1" w:after="100" w:afterAutospacing="1" w:line="480" w:lineRule="auto"/>
        <w:jc w:val="both"/>
        <w:rPr>
          <w:rFonts w:ascii="Tahoma" w:hAnsi="Tahoma" w:cs="Tahoma"/>
          <w:bCs/>
          <w:color w:val="000000"/>
          <w:sz w:val="24"/>
          <w:szCs w:val="24"/>
        </w:rPr>
      </w:pPr>
      <w:r>
        <w:rPr>
          <w:rFonts w:ascii="Tahoma" w:hAnsi="Tahoma" w:cs="Tahoma"/>
          <w:bCs/>
          <w:color w:val="000000"/>
          <w:sz w:val="24"/>
          <w:szCs w:val="24"/>
        </w:rPr>
        <w:t>3</w:t>
      </w:r>
      <w:r w:rsidR="0094522F">
        <w:rPr>
          <w:rFonts w:ascii="Tahoma" w:hAnsi="Tahoma" w:cs="Tahoma"/>
          <w:bCs/>
          <w:color w:val="000000"/>
          <w:sz w:val="24"/>
          <w:szCs w:val="24"/>
        </w:rPr>
        <w:t>9</w:t>
      </w:r>
      <w:r>
        <w:rPr>
          <w:rFonts w:ascii="Tahoma" w:hAnsi="Tahoma" w:cs="Tahoma"/>
          <w:bCs/>
          <w:color w:val="000000"/>
          <w:sz w:val="24"/>
          <w:szCs w:val="24"/>
        </w:rPr>
        <w:t>.</w:t>
      </w:r>
      <w:r w:rsidRPr="00024E89">
        <w:rPr>
          <w:rFonts w:ascii="Tahoma" w:hAnsi="Tahoma" w:cs="Tahoma"/>
          <w:bCs/>
          <w:color w:val="000000"/>
          <w:sz w:val="24"/>
          <w:szCs w:val="24"/>
        </w:rPr>
        <w:t xml:space="preserve"> </w:t>
      </w:r>
      <w:r>
        <w:rPr>
          <w:rFonts w:ascii="Tahoma" w:hAnsi="Tahoma" w:cs="Tahoma"/>
          <w:bCs/>
          <w:color w:val="000000"/>
          <w:sz w:val="24"/>
          <w:szCs w:val="24"/>
        </w:rPr>
        <w:t xml:space="preserve">  </w:t>
      </w:r>
      <w:r w:rsidR="000304B5">
        <w:rPr>
          <w:rFonts w:ascii="Tahoma" w:hAnsi="Tahoma" w:cs="Tahoma"/>
          <w:bCs/>
          <w:color w:val="000000"/>
          <w:sz w:val="24"/>
          <w:szCs w:val="24"/>
        </w:rPr>
        <w:t xml:space="preserve">In </w:t>
      </w:r>
      <w:r w:rsidR="000304B5" w:rsidRPr="000304B5">
        <w:rPr>
          <w:rFonts w:ascii="Tahoma" w:hAnsi="Tahoma" w:cs="Tahoma"/>
          <w:b/>
          <w:bCs/>
          <w:color w:val="000000"/>
          <w:sz w:val="24"/>
          <w:szCs w:val="24"/>
        </w:rPr>
        <w:t>Campbell</w:t>
      </w:r>
      <w:r w:rsidR="001452EA" w:rsidRPr="00024E89">
        <w:rPr>
          <w:rFonts w:ascii="Tahoma" w:hAnsi="Tahoma" w:cs="Tahoma"/>
          <w:bCs/>
          <w:color w:val="000000"/>
          <w:sz w:val="24"/>
          <w:szCs w:val="24"/>
        </w:rPr>
        <w:t xml:space="preserve">, </w:t>
      </w:r>
      <w:r>
        <w:rPr>
          <w:rFonts w:ascii="Tahoma" w:hAnsi="Tahoma" w:cs="Tahoma"/>
          <w:bCs/>
          <w:color w:val="000000"/>
          <w:sz w:val="24"/>
          <w:szCs w:val="24"/>
        </w:rPr>
        <w:t xml:space="preserve">in which </w:t>
      </w:r>
      <w:r w:rsidR="001452EA" w:rsidRPr="00024E89">
        <w:rPr>
          <w:rFonts w:ascii="Tahoma" w:hAnsi="Tahoma" w:cs="Tahoma"/>
          <w:bCs/>
          <w:color w:val="000000"/>
          <w:sz w:val="24"/>
          <w:szCs w:val="24"/>
        </w:rPr>
        <w:t>the appellant was unrepresented</w:t>
      </w:r>
      <w:r w:rsidR="000304B5">
        <w:rPr>
          <w:rFonts w:ascii="Tahoma" w:hAnsi="Tahoma" w:cs="Tahoma"/>
          <w:bCs/>
          <w:color w:val="000000"/>
          <w:sz w:val="24"/>
          <w:szCs w:val="24"/>
        </w:rPr>
        <w:t xml:space="preserve"> on the appeal (which was clearly a relevant factor), the Board considered</w:t>
      </w:r>
      <w:r w:rsidR="000304B5">
        <w:rPr>
          <w:rStyle w:val="FootnoteReference"/>
          <w:rFonts w:ascii="Tahoma" w:hAnsi="Tahoma" w:cs="Tahoma"/>
          <w:bCs/>
          <w:color w:val="000000"/>
          <w:sz w:val="24"/>
          <w:szCs w:val="24"/>
        </w:rPr>
        <w:footnoteReference w:id="71"/>
      </w:r>
      <w:r w:rsidR="000304B5">
        <w:rPr>
          <w:rFonts w:ascii="Tahoma" w:hAnsi="Tahoma" w:cs="Tahoma"/>
          <w:bCs/>
          <w:color w:val="000000"/>
          <w:sz w:val="24"/>
          <w:szCs w:val="24"/>
        </w:rPr>
        <w:t xml:space="preserve"> that there were special circumstances </w:t>
      </w:r>
      <w:r w:rsidR="000304B5">
        <w:rPr>
          <w:rFonts w:ascii="Tahoma" w:hAnsi="Tahoma" w:cs="Tahoma"/>
          <w:bCs/>
          <w:color w:val="000000"/>
          <w:sz w:val="24"/>
          <w:szCs w:val="24"/>
        </w:rPr>
        <w:lastRenderedPageBreak/>
        <w:t>relating to the conduct of counsel (and, it appears, his antecedents) which made it impossible to ignore the ground of appeal:</w:t>
      </w:r>
    </w:p>
    <w:p w:rsidR="00C47AB7" w:rsidRPr="00024E89" w:rsidRDefault="000304B5" w:rsidP="000304B5">
      <w:pPr>
        <w:spacing w:before="100" w:beforeAutospacing="1" w:after="100" w:afterAutospacing="1" w:line="240" w:lineRule="auto"/>
        <w:ind w:left="1440" w:right="1440"/>
        <w:jc w:val="both"/>
        <w:rPr>
          <w:rFonts w:ascii="Tahoma" w:hAnsi="Tahoma" w:cs="Tahoma"/>
          <w:bCs/>
          <w:color w:val="000000"/>
          <w:sz w:val="24"/>
          <w:szCs w:val="24"/>
        </w:rPr>
      </w:pPr>
      <w:r>
        <w:rPr>
          <w:rFonts w:ascii="Tahoma" w:hAnsi="Tahoma" w:cs="Tahoma"/>
          <w:bCs/>
          <w:color w:val="000000"/>
          <w:sz w:val="24"/>
          <w:szCs w:val="24"/>
        </w:rPr>
        <w:t>“</w:t>
      </w:r>
      <w:r w:rsidR="00C47AB7" w:rsidRPr="00024E89">
        <w:rPr>
          <w:rFonts w:ascii="Tahoma" w:hAnsi="Tahoma" w:cs="Tahoma"/>
          <w:bCs/>
          <w:color w:val="000000"/>
          <w:sz w:val="24"/>
          <w:szCs w:val="24"/>
        </w:rPr>
        <w:t xml:space="preserve">The picture gained from a reading of the transcript is of unfocused and disordered conduct by counsel of the </w:t>
      </w:r>
      <w:proofErr w:type="spellStart"/>
      <w:r w:rsidR="00C47AB7" w:rsidRPr="00024E89">
        <w:rPr>
          <w:rFonts w:ascii="Tahoma" w:hAnsi="Tahoma" w:cs="Tahoma"/>
          <w:bCs/>
          <w:color w:val="000000"/>
          <w:sz w:val="24"/>
          <w:szCs w:val="24"/>
        </w:rPr>
        <w:t>defence</w:t>
      </w:r>
      <w:proofErr w:type="spellEnd"/>
      <w:r w:rsidR="00C47AB7" w:rsidRPr="00024E89">
        <w:rPr>
          <w:rFonts w:ascii="Tahoma" w:hAnsi="Tahoma" w:cs="Tahoma"/>
          <w:bCs/>
          <w:color w:val="000000"/>
          <w:sz w:val="24"/>
          <w:szCs w:val="24"/>
        </w:rPr>
        <w:t xml:space="preserve"> case at trial, accompanied by large numbers of impermissible questions as well as by inappropriate applications and submissions, leading to a number of judicial reproofs. At one point, </w:t>
      </w:r>
      <w:proofErr w:type="spellStart"/>
      <w:r w:rsidR="00C47AB7" w:rsidRPr="00024E89">
        <w:rPr>
          <w:rFonts w:ascii="Tahoma" w:hAnsi="Tahoma" w:cs="Tahoma"/>
          <w:bCs/>
          <w:color w:val="000000"/>
          <w:sz w:val="24"/>
          <w:szCs w:val="24"/>
        </w:rPr>
        <w:t>Mr</w:t>
      </w:r>
      <w:proofErr w:type="spellEnd"/>
      <w:r w:rsidR="00C47AB7" w:rsidRPr="00024E89">
        <w:rPr>
          <w:rFonts w:ascii="Tahoma" w:hAnsi="Tahoma" w:cs="Tahoma"/>
          <w:bCs/>
          <w:color w:val="000000"/>
          <w:sz w:val="24"/>
          <w:szCs w:val="24"/>
        </w:rPr>
        <w:t xml:space="preserve"> Bryan, on arriving late back in court following an adjournment, excused himself by saying that he had </w:t>
      </w:r>
      <w:r>
        <w:rPr>
          <w:rFonts w:ascii="Tahoma" w:hAnsi="Tahoma" w:cs="Tahoma"/>
          <w:bCs/>
          <w:color w:val="000000"/>
          <w:sz w:val="24"/>
          <w:szCs w:val="24"/>
        </w:rPr>
        <w:t>‘</w:t>
      </w:r>
      <w:r w:rsidR="00C47AB7" w:rsidRPr="00024E89">
        <w:rPr>
          <w:rFonts w:ascii="Tahoma" w:hAnsi="Tahoma" w:cs="Tahoma"/>
          <w:bCs/>
          <w:color w:val="000000"/>
          <w:sz w:val="24"/>
          <w:szCs w:val="24"/>
        </w:rPr>
        <w:t>taken on more than I can chew</w:t>
      </w:r>
      <w:r>
        <w:rPr>
          <w:rFonts w:ascii="Tahoma" w:hAnsi="Tahoma" w:cs="Tahoma"/>
          <w:bCs/>
          <w:color w:val="000000"/>
          <w:sz w:val="24"/>
          <w:szCs w:val="24"/>
        </w:rPr>
        <w:t>’</w:t>
      </w:r>
      <w:r w:rsidR="00C47AB7" w:rsidRPr="00024E89">
        <w:rPr>
          <w:rFonts w:ascii="Tahoma" w:hAnsi="Tahoma" w:cs="Tahoma"/>
          <w:bCs/>
          <w:color w:val="000000"/>
          <w:sz w:val="24"/>
          <w:szCs w:val="24"/>
        </w:rPr>
        <w:t xml:space="preserve">. At another point, the judge was moved to say </w:t>
      </w:r>
      <w:r>
        <w:rPr>
          <w:rFonts w:ascii="Tahoma" w:hAnsi="Tahoma" w:cs="Tahoma"/>
          <w:bCs/>
          <w:color w:val="000000"/>
          <w:sz w:val="24"/>
          <w:szCs w:val="24"/>
        </w:rPr>
        <w:t>‘</w:t>
      </w:r>
      <w:r w:rsidR="00C47AB7" w:rsidRPr="00024E89">
        <w:rPr>
          <w:rFonts w:ascii="Tahoma" w:hAnsi="Tahoma" w:cs="Tahoma"/>
          <w:bCs/>
          <w:color w:val="000000"/>
          <w:sz w:val="24"/>
          <w:szCs w:val="24"/>
        </w:rPr>
        <w:t>It is outrageous the way you behave</w:t>
      </w:r>
      <w:r>
        <w:rPr>
          <w:rFonts w:ascii="Tahoma" w:hAnsi="Tahoma" w:cs="Tahoma"/>
          <w:bCs/>
          <w:color w:val="000000"/>
          <w:sz w:val="24"/>
          <w:szCs w:val="24"/>
        </w:rPr>
        <w:t>’</w:t>
      </w:r>
      <w:r w:rsidR="00C47AB7" w:rsidRPr="00024E89">
        <w:rPr>
          <w:rFonts w:ascii="Tahoma" w:hAnsi="Tahoma" w:cs="Tahoma"/>
          <w:bCs/>
          <w:color w:val="000000"/>
          <w:sz w:val="24"/>
          <w:szCs w:val="24"/>
        </w:rPr>
        <w:t xml:space="preserve">. Unhappily, this appears to have been </w:t>
      </w:r>
      <w:proofErr w:type="gramStart"/>
      <w:r w:rsidR="00C47AB7" w:rsidRPr="00024E89">
        <w:rPr>
          <w:rFonts w:ascii="Tahoma" w:hAnsi="Tahoma" w:cs="Tahoma"/>
          <w:bCs/>
          <w:color w:val="000000"/>
          <w:sz w:val="24"/>
          <w:szCs w:val="24"/>
        </w:rPr>
        <w:t>conduct</w:t>
      </w:r>
      <w:proofErr w:type="gramEnd"/>
      <w:r w:rsidR="00C47AB7" w:rsidRPr="00024E89">
        <w:rPr>
          <w:rFonts w:ascii="Tahoma" w:hAnsi="Tahoma" w:cs="Tahoma"/>
          <w:bCs/>
          <w:color w:val="000000"/>
          <w:sz w:val="24"/>
          <w:szCs w:val="24"/>
        </w:rPr>
        <w:t xml:space="preserve"> not unknown in </w:t>
      </w:r>
      <w:proofErr w:type="spellStart"/>
      <w:r w:rsidR="00C47AB7" w:rsidRPr="00024E89">
        <w:rPr>
          <w:rFonts w:ascii="Tahoma" w:hAnsi="Tahoma" w:cs="Tahoma"/>
          <w:bCs/>
          <w:color w:val="000000"/>
          <w:sz w:val="24"/>
          <w:szCs w:val="24"/>
        </w:rPr>
        <w:t>Mr</w:t>
      </w:r>
      <w:proofErr w:type="spellEnd"/>
      <w:r w:rsidR="00C47AB7" w:rsidRPr="00024E89">
        <w:rPr>
          <w:rFonts w:ascii="Tahoma" w:hAnsi="Tahoma" w:cs="Tahoma"/>
          <w:bCs/>
          <w:color w:val="000000"/>
          <w:sz w:val="24"/>
          <w:szCs w:val="24"/>
        </w:rPr>
        <w:t xml:space="preserve"> Bryan's case. It transpires that he was disbarred from the Bar of England and Wales following his admission at a disciplinary hearing on 21</w:t>
      </w:r>
      <w:r w:rsidR="00C47AB7" w:rsidRPr="00024E89">
        <w:rPr>
          <w:rFonts w:ascii="Tahoma" w:hAnsi="Tahoma" w:cs="Tahoma"/>
          <w:bCs/>
          <w:color w:val="000000"/>
          <w:sz w:val="24"/>
          <w:szCs w:val="24"/>
          <w:vertAlign w:val="superscript"/>
        </w:rPr>
        <w:t>st</w:t>
      </w:r>
      <w:r w:rsidR="00C47AB7" w:rsidRPr="00024E89">
        <w:rPr>
          <w:rStyle w:val="apple-converted-space"/>
          <w:rFonts w:ascii="Tahoma" w:hAnsi="Tahoma" w:cs="Tahoma"/>
          <w:bCs/>
          <w:color w:val="000000"/>
          <w:sz w:val="24"/>
          <w:szCs w:val="24"/>
        </w:rPr>
        <w:t> </w:t>
      </w:r>
      <w:r w:rsidR="00C47AB7" w:rsidRPr="00024E89">
        <w:rPr>
          <w:rFonts w:ascii="Tahoma" w:hAnsi="Tahoma" w:cs="Tahoma"/>
          <w:bCs/>
          <w:color w:val="000000"/>
          <w:sz w:val="24"/>
          <w:szCs w:val="24"/>
        </w:rPr>
        <w:t xml:space="preserve">April 1987 of charges of professional misconduct. One charge involved accusing the judge of bias against the defendant, of shouting him down and of racial bias, as well intemperate and immoderate language, and accusations against the prosecution of lies and of refusing to withdraw an accusation against the prosecution of withholding a document although the </w:t>
      </w:r>
      <w:proofErr w:type="spellStart"/>
      <w:r w:rsidR="00C47AB7" w:rsidRPr="00024E89">
        <w:rPr>
          <w:rFonts w:ascii="Tahoma" w:hAnsi="Tahoma" w:cs="Tahoma"/>
          <w:bCs/>
          <w:color w:val="000000"/>
          <w:sz w:val="24"/>
          <w:szCs w:val="24"/>
        </w:rPr>
        <w:t>defence</w:t>
      </w:r>
      <w:proofErr w:type="spellEnd"/>
      <w:r w:rsidR="00C47AB7" w:rsidRPr="00024E89">
        <w:rPr>
          <w:rFonts w:ascii="Tahoma" w:hAnsi="Tahoma" w:cs="Tahoma"/>
          <w:bCs/>
          <w:color w:val="000000"/>
          <w:sz w:val="24"/>
          <w:szCs w:val="24"/>
        </w:rPr>
        <w:t xml:space="preserve"> solicitor had confirmed that it had been provided to the </w:t>
      </w:r>
      <w:proofErr w:type="spellStart"/>
      <w:r w:rsidR="00C47AB7" w:rsidRPr="00024E89">
        <w:rPr>
          <w:rFonts w:ascii="Tahoma" w:hAnsi="Tahoma" w:cs="Tahoma"/>
          <w:bCs/>
          <w:color w:val="000000"/>
          <w:sz w:val="24"/>
          <w:szCs w:val="24"/>
        </w:rPr>
        <w:t>defence</w:t>
      </w:r>
      <w:proofErr w:type="spellEnd"/>
      <w:r w:rsidR="00C47AB7" w:rsidRPr="00024E89">
        <w:rPr>
          <w:rFonts w:ascii="Tahoma" w:hAnsi="Tahoma" w:cs="Tahoma"/>
          <w:bCs/>
          <w:color w:val="000000"/>
          <w:sz w:val="24"/>
          <w:szCs w:val="24"/>
        </w:rPr>
        <w:t xml:space="preserve">; another wasting the court's time and extending the length of the hearing through repetition, lack of familiarity with the detail of the case, pursuing irrelevant points and making a closing speech which extended some 28 hours. </w:t>
      </w:r>
      <w:proofErr w:type="spellStart"/>
      <w:r w:rsidR="00C47AB7" w:rsidRPr="00024E89">
        <w:rPr>
          <w:rFonts w:ascii="Tahoma" w:hAnsi="Tahoma" w:cs="Tahoma"/>
          <w:bCs/>
          <w:color w:val="000000"/>
          <w:sz w:val="24"/>
          <w:szCs w:val="24"/>
        </w:rPr>
        <w:t>Mr</w:t>
      </w:r>
      <w:proofErr w:type="spellEnd"/>
      <w:r w:rsidR="00C47AB7" w:rsidRPr="00024E89">
        <w:rPr>
          <w:rFonts w:ascii="Tahoma" w:hAnsi="Tahoma" w:cs="Tahoma"/>
          <w:bCs/>
          <w:color w:val="000000"/>
          <w:sz w:val="24"/>
          <w:szCs w:val="24"/>
        </w:rPr>
        <w:t xml:space="preserve"> Bryan was called to the bar in Jamaica on 17</w:t>
      </w:r>
      <w:r w:rsidR="00C47AB7" w:rsidRPr="00024E89">
        <w:rPr>
          <w:rFonts w:ascii="Tahoma" w:hAnsi="Tahoma" w:cs="Tahoma"/>
          <w:bCs/>
          <w:color w:val="000000"/>
          <w:sz w:val="24"/>
          <w:szCs w:val="24"/>
          <w:vertAlign w:val="superscript"/>
        </w:rPr>
        <w:t>th</w:t>
      </w:r>
      <w:r w:rsidR="00C47AB7" w:rsidRPr="00024E89">
        <w:rPr>
          <w:rStyle w:val="apple-converted-space"/>
          <w:rFonts w:ascii="Tahoma" w:hAnsi="Tahoma" w:cs="Tahoma"/>
          <w:bCs/>
          <w:color w:val="000000"/>
          <w:sz w:val="24"/>
          <w:szCs w:val="24"/>
        </w:rPr>
        <w:t> </w:t>
      </w:r>
      <w:r w:rsidR="00C47AB7" w:rsidRPr="00024E89">
        <w:rPr>
          <w:rFonts w:ascii="Tahoma" w:hAnsi="Tahoma" w:cs="Tahoma"/>
          <w:bCs/>
          <w:color w:val="000000"/>
          <w:sz w:val="24"/>
          <w:szCs w:val="24"/>
        </w:rPr>
        <w:t>July 1995, and by 4</w:t>
      </w:r>
      <w:r w:rsidR="00C47AB7" w:rsidRPr="00024E89">
        <w:rPr>
          <w:rFonts w:ascii="Tahoma" w:hAnsi="Tahoma" w:cs="Tahoma"/>
          <w:bCs/>
          <w:color w:val="000000"/>
          <w:sz w:val="24"/>
          <w:szCs w:val="24"/>
          <w:vertAlign w:val="superscript"/>
        </w:rPr>
        <w:t>th</w:t>
      </w:r>
      <w:r w:rsidR="00C47AB7" w:rsidRPr="00024E89">
        <w:rPr>
          <w:rStyle w:val="apple-converted-space"/>
          <w:rFonts w:ascii="Tahoma" w:hAnsi="Tahoma" w:cs="Tahoma"/>
          <w:bCs/>
          <w:color w:val="000000"/>
          <w:sz w:val="24"/>
          <w:szCs w:val="24"/>
        </w:rPr>
        <w:t> </w:t>
      </w:r>
      <w:r w:rsidR="00C47AB7" w:rsidRPr="00024E89">
        <w:rPr>
          <w:rFonts w:ascii="Tahoma" w:hAnsi="Tahoma" w:cs="Tahoma"/>
          <w:bCs/>
          <w:color w:val="000000"/>
          <w:sz w:val="24"/>
          <w:szCs w:val="24"/>
        </w:rPr>
        <w:t>June 2008 he had been found guilty by the Disciplinary Committee of the General Legal Council of Jamaica of two further charges, one of professional misconduct, consisting of negligence and delay, the other of charging fees that were not fair or reasonable and discrediting the profession by refusing to refund fees, and he was awaiting judgment on a third charge.</w:t>
      </w:r>
      <w:bookmarkEnd w:id="25"/>
    </w:p>
    <w:p w:rsidR="00C47AB7" w:rsidRDefault="00C47AB7" w:rsidP="000304B5">
      <w:pPr>
        <w:spacing w:before="100" w:beforeAutospacing="1" w:after="100" w:afterAutospacing="1" w:line="240" w:lineRule="auto"/>
        <w:ind w:left="1440" w:right="1440"/>
        <w:jc w:val="both"/>
        <w:rPr>
          <w:b/>
          <w:bCs/>
          <w:color w:val="000000"/>
          <w:sz w:val="27"/>
          <w:szCs w:val="27"/>
        </w:rPr>
      </w:pPr>
      <w:r w:rsidRPr="00766C16">
        <w:rPr>
          <w:rFonts w:ascii="Tahoma" w:hAnsi="Tahoma" w:cs="Tahoma"/>
          <w:bCs/>
          <w:color w:val="000000"/>
          <w:sz w:val="24"/>
          <w:szCs w:val="24"/>
        </w:rPr>
        <w:t xml:space="preserve">In these circumstances, the Board feels compelled to conclude that the only plausible explanation of the failure to adduce evidence of good character is </w:t>
      </w:r>
      <w:proofErr w:type="spellStart"/>
      <w:r w:rsidRPr="00766C16">
        <w:rPr>
          <w:rFonts w:ascii="Tahoma" w:hAnsi="Tahoma" w:cs="Tahoma"/>
          <w:bCs/>
          <w:color w:val="000000"/>
          <w:sz w:val="24"/>
          <w:szCs w:val="24"/>
        </w:rPr>
        <w:t>defence</w:t>
      </w:r>
      <w:proofErr w:type="spellEnd"/>
      <w:r w:rsidRPr="00766C16">
        <w:rPr>
          <w:rFonts w:ascii="Tahoma" w:hAnsi="Tahoma" w:cs="Tahoma"/>
          <w:bCs/>
          <w:color w:val="000000"/>
          <w:sz w:val="24"/>
          <w:szCs w:val="24"/>
        </w:rPr>
        <w:t xml:space="preserve"> counsel's incompetence. That being so, the focus moves to the impact of such failure on the trial, rather than an attempt further to </w:t>
      </w:r>
      <w:r w:rsidRPr="00766C16">
        <w:rPr>
          <w:rFonts w:ascii="Tahoma" w:hAnsi="Tahoma" w:cs="Tahoma"/>
          <w:bCs/>
          <w:color w:val="000000"/>
          <w:sz w:val="24"/>
          <w:szCs w:val="24"/>
        </w:rPr>
        <w:lastRenderedPageBreak/>
        <w:t>rate the incompetence according to some scale of ineptitude</w:t>
      </w:r>
      <w:r w:rsidR="000304B5">
        <w:rPr>
          <w:rFonts w:ascii="Tahoma" w:hAnsi="Tahoma" w:cs="Tahoma"/>
          <w:bCs/>
          <w:color w:val="000000"/>
          <w:sz w:val="24"/>
          <w:szCs w:val="24"/>
        </w:rPr>
        <w:t>…”</w:t>
      </w:r>
    </w:p>
    <w:p w:rsidR="000304B5" w:rsidRDefault="000304B5" w:rsidP="005460E3">
      <w:pPr>
        <w:shd w:val="clear" w:color="auto" w:fill="FFFFFF"/>
        <w:spacing w:after="0" w:line="240" w:lineRule="auto"/>
        <w:jc w:val="both"/>
        <w:rPr>
          <w:rStyle w:val="apple-converted-space"/>
          <w:rFonts w:ascii="Tahoma" w:hAnsi="Tahoma" w:cs="Tahoma"/>
          <w:bCs/>
          <w:color w:val="000000"/>
          <w:sz w:val="24"/>
          <w:szCs w:val="24"/>
        </w:rPr>
      </w:pPr>
    </w:p>
    <w:p w:rsidR="001B55EF" w:rsidRDefault="0094522F" w:rsidP="00BE2E11">
      <w:pPr>
        <w:shd w:val="clear" w:color="auto" w:fill="FFFFFF"/>
        <w:spacing w:before="100" w:beforeAutospacing="1" w:after="100" w:afterAutospacing="1" w:line="480" w:lineRule="auto"/>
        <w:jc w:val="both"/>
        <w:rPr>
          <w:rFonts w:ascii="Tahoma" w:hAnsi="Tahoma" w:cs="Tahoma"/>
          <w:color w:val="000000"/>
          <w:sz w:val="24"/>
          <w:szCs w:val="24"/>
        </w:rPr>
      </w:pPr>
      <w:r>
        <w:rPr>
          <w:rFonts w:ascii="Tahoma" w:hAnsi="Tahoma" w:cs="Tahoma"/>
          <w:color w:val="000000"/>
          <w:sz w:val="24"/>
          <w:szCs w:val="24"/>
        </w:rPr>
        <w:t>40</w:t>
      </w:r>
      <w:r w:rsidR="00CB2D11">
        <w:rPr>
          <w:rFonts w:ascii="Tahoma" w:hAnsi="Tahoma" w:cs="Tahoma"/>
          <w:color w:val="000000"/>
          <w:sz w:val="24"/>
          <w:szCs w:val="24"/>
        </w:rPr>
        <w:t xml:space="preserve">.   </w:t>
      </w:r>
      <w:r w:rsidR="00825842">
        <w:rPr>
          <w:rFonts w:ascii="Tahoma" w:hAnsi="Tahoma" w:cs="Tahoma"/>
          <w:color w:val="000000"/>
          <w:sz w:val="24"/>
          <w:szCs w:val="24"/>
        </w:rPr>
        <w:t>O</w:t>
      </w:r>
      <w:r w:rsidR="00480B2C">
        <w:rPr>
          <w:rFonts w:ascii="Tahoma" w:hAnsi="Tahoma" w:cs="Tahoma"/>
          <w:color w:val="000000"/>
          <w:sz w:val="24"/>
          <w:szCs w:val="24"/>
        </w:rPr>
        <w:t xml:space="preserve">nce counsel has discharged his or her duty, it is well </w:t>
      </w:r>
      <w:proofErr w:type="spellStart"/>
      <w:r w:rsidR="00480B2C">
        <w:rPr>
          <w:rFonts w:ascii="Tahoma" w:hAnsi="Tahoma" w:cs="Tahoma"/>
          <w:color w:val="000000"/>
          <w:sz w:val="24"/>
          <w:szCs w:val="24"/>
        </w:rPr>
        <w:t>recognised</w:t>
      </w:r>
      <w:proofErr w:type="spellEnd"/>
      <w:r w:rsidR="00480B2C">
        <w:rPr>
          <w:rFonts w:ascii="Tahoma" w:hAnsi="Tahoma" w:cs="Tahoma"/>
          <w:color w:val="000000"/>
          <w:sz w:val="24"/>
          <w:szCs w:val="24"/>
        </w:rPr>
        <w:t xml:space="preserve"> that</w:t>
      </w:r>
      <w:r w:rsidR="00825842">
        <w:rPr>
          <w:rFonts w:ascii="Tahoma" w:hAnsi="Tahoma" w:cs="Tahoma"/>
          <w:color w:val="000000"/>
          <w:sz w:val="24"/>
          <w:szCs w:val="24"/>
        </w:rPr>
        <w:t>, despite the fact that a good character direction ought usually to be given,</w:t>
      </w:r>
      <w:r w:rsidR="00480B2C">
        <w:rPr>
          <w:rFonts w:ascii="Tahoma" w:hAnsi="Tahoma" w:cs="Tahoma"/>
          <w:color w:val="000000"/>
          <w:sz w:val="24"/>
          <w:szCs w:val="24"/>
        </w:rPr>
        <w:t xml:space="preserve"> </w:t>
      </w:r>
      <w:r w:rsidR="00825842">
        <w:rPr>
          <w:rFonts w:ascii="Tahoma" w:hAnsi="Tahoma" w:cs="Tahoma"/>
          <w:color w:val="000000"/>
          <w:sz w:val="24"/>
          <w:szCs w:val="24"/>
        </w:rPr>
        <w:t>the judge</w:t>
      </w:r>
      <w:r w:rsidR="00480B2C">
        <w:rPr>
          <w:rFonts w:ascii="Tahoma" w:hAnsi="Tahoma" w:cs="Tahoma"/>
          <w:color w:val="000000"/>
          <w:sz w:val="24"/>
          <w:szCs w:val="24"/>
        </w:rPr>
        <w:t xml:space="preserve"> </w:t>
      </w:r>
      <w:r w:rsidR="00825842">
        <w:rPr>
          <w:rFonts w:ascii="Tahoma" w:hAnsi="Tahoma" w:cs="Tahoma"/>
          <w:color w:val="000000"/>
          <w:sz w:val="24"/>
          <w:szCs w:val="24"/>
        </w:rPr>
        <w:t>has a residual discretion</w:t>
      </w:r>
      <w:r w:rsidR="00480B2C">
        <w:rPr>
          <w:rFonts w:ascii="Tahoma" w:hAnsi="Tahoma" w:cs="Tahoma"/>
          <w:color w:val="000000"/>
          <w:sz w:val="24"/>
          <w:szCs w:val="24"/>
        </w:rPr>
        <w:t xml:space="preserve"> </w:t>
      </w:r>
      <w:r w:rsidR="00825842">
        <w:rPr>
          <w:rFonts w:ascii="Tahoma" w:hAnsi="Tahoma" w:cs="Tahoma"/>
          <w:color w:val="000000"/>
          <w:sz w:val="24"/>
          <w:szCs w:val="24"/>
        </w:rPr>
        <w:t xml:space="preserve">to decline </w:t>
      </w:r>
      <w:r w:rsidR="00B534C8">
        <w:rPr>
          <w:rFonts w:ascii="Tahoma" w:hAnsi="Tahoma" w:cs="Tahoma"/>
          <w:color w:val="000000"/>
          <w:sz w:val="24"/>
          <w:szCs w:val="24"/>
        </w:rPr>
        <w:t>to give the</w:t>
      </w:r>
      <w:r w:rsidR="00480B2C">
        <w:rPr>
          <w:rFonts w:ascii="Tahoma" w:hAnsi="Tahoma" w:cs="Tahoma"/>
          <w:color w:val="000000"/>
          <w:sz w:val="24"/>
          <w:szCs w:val="24"/>
        </w:rPr>
        <w:t xml:space="preserve"> direction in a</w:t>
      </w:r>
      <w:r w:rsidR="00825842">
        <w:rPr>
          <w:rFonts w:ascii="Tahoma" w:hAnsi="Tahoma" w:cs="Tahoma"/>
          <w:color w:val="000000"/>
          <w:sz w:val="24"/>
          <w:szCs w:val="24"/>
        </w:rPr>
        <w:t>n appropriate</w:t>
      </w:r>
      <w:r w:rsidR="00480B2C">
        <w:rPr>
          <w:rFonts w:ascii="Tahoma" w:hAnsi="Tahoma" w:cs="Tahoma"/>
          <w:color w:val="000000"/>
          <w:sz w:val="24"/>
          <w:szCs w:val="24"/>
        </w:rPr>
        <w:t xml:space="preserve"> case. </w:t>
      </w:r>
      <w:r w:rsidR="00825842">
        <w:rPr>
          <w:rFonts w:ascii="Tahoma" w:hAnsi="Tahoma" w:cs="Tahoma"/>
          <w:color w:val="000000"/>
          <w:sz w:val="24"/>
          <w:szCs w:val="24"/>
        </w:rPr>
        <w:t xml:space="preserve">In what Lord Woolf would later describe in </w:t>
      </w:r>
      <w:r w:rsidR="00825842" w:rsidRPr="00DA1C89">
        <w:rPr>
          <w:rFonts w:ascii="Tahoma" w:hAnsi="Tahoma" w:cs="Tahoma"/>
          <w:b/>
          <w:color w:val="000000"/>
          <w:sz w:val="24"/>
          <w:szCs w:val="24"/>
        </w:rPr>
        <w:t>Gilbert</w:t>
      </w:r>
      <w:r w:rsidR="00825842" w:rsidRPr="00B534C8">
        <w:rPr>
          <w:rStyle w:val="FootnoteReference"/>
          <w:rFonts w:ascii="Tahoma" w:hAnsi="Tahoma" w:cs="Tahoma"/>
          <w:color w:val="000000"/>
          <w:sz w:val="24"/>
          <w:szCs w:val="24"/>
        </w:rPr>
        <w:footnoteReference w:id="72"/>
      </w:r>
      <w:r w:rsidR="00825842">
        <w:rPr>
          <w:rFonts w:ascii="Tahoma" w:hAnsi="Tahoma" w:cs="Tahoma"/>
          <w:color w:val="000000"/>
          <w:sz w:val="24"/>
          <w:szCs w:val="24"/>
        </w:rPr>
        <w:t xml:space="preserve"> as a </w:t>
      </w:r>
      <w:r w:rsidR="00825842" w:rsidRPr="00DA1C89">
        <w:rPr>
          <w:rFonts w:ascii="Tahoma" w:hAnsi="Tahoma" w:cs="Tahoma"/>
          <w:color w:val="000000"/>
          <w:sz w:val="24"/>
          <w:szCs w:val="24"/>
        </w:rPr>
        <w:t>“common sense approach</w:t>
      </w:r>
      <w:r w:rsidR="00825842">
        <w:rPr>
          <w:color w:val="000000"/>
          <w:sz w:val="27"/>
          <w:szCs w:val="27"/>
        </w:rPr>
        <w:t xml:space="preserve">”, </w:t>
      </w:r>
      <w:r w:rsidR="00480B2C">
        <w:rPr>
          <w:rFonts w:ascii="Tahoma" w:hAnsi="Tahoma" w:cs="Tahoma"/>
          <w:color w:val="000000"/>
          <w:sz w:val="24"/>
          <w:szCs w:val="24"/>
        </w:rPr>
        <w:t xml:space="preserve">Lord </w:t>
      </w:r>
      <w:proofErr w:type="spellStart"/>
      <w:r w:rsidR="00480B2C">
        <w:rPr>
          <w:rFonts w:ascii="Tahoma" w:hAnsi="Tahoma" w:cs="Tahoma"/>
          <w:color w:val="000000"/>
          <w:sz w:val="24"/>
          <w:szCs w:val="24"/>
        </w:rPr>
        <w:t>Steyn</w:t>
      </w:r>
      <w:proofErr w:type="spellEnd"/>
      <w:r w:rsidR="00480B2C">
        <w:rPr>
          <w:rFonts w:ascii="Tahoma" w:hAnsi="Tahoma" w:cs="Tahoma"/>
          <w:color w:val="000000"/>
          <w:sz w:val="24"/>
          <w:szCs w:val="24"/>
        </w:rPr>
        <w:t xml:space="preserve"> had elaborated</w:t>
      </w:r>
      <w:r w:rsidR="00825842">
        <w:rPr>
          <w:rFonts w:ascii="Tahoma" w:hAnsi="Tahoma" w:cs="Tahoma"/>
          <w:color w:val="000000"/>
          <w:sz w:val="24"/>
          <w:szCs w:val="24"/>
        </w:rPr>
        <w:t xml:space="preserve"> on this point</w:t>
      </w:r>
      <w:r w:rsidR="00480B2C">
        <w:rPr>
          <w:rFonts w:ascii="Tahoma" w:hAnsi="Tahoma" w:cs="Tahoma"/>
          <w:color w:val="000000"/>
          <w:sz w:val="24"/>
          <w:szCs w:val="24"/>
        </w:rPr>
        <w:t xml:space="preserve"> </w:t>
      </w:r>
      <w:r w:rsidR="00DA1C89">
        <w:rPr>
          <w:color w:val="000000"/>
          <w:sz w:val="27"/>
          <w:szCs w:val="27"/>
        </w:rPr>
        <w:t>in</w:t>
      </w:r>
      <w:r w:rsidR="00480B2C">
        <w:rPr>
          <w:rFonts w:ascii="Tahoma" w:hAnsi="Tahoma" w:cs="Tahoma"/>
          <w:color w:val="000000"/>
          <w:sz w:val="24"/>
          <w:szCs w:val="24"/>
        </w:rPr>
        <w:t xml:space="preserve"> </w:t>
      </w:r>
      <w:r w:rsidR="00480B2C" w:rsidRPr="00480B2C">
        <w:rPr>
          <w:rFonts w:ascii="Tahoma" w:hAnsi="Tahoma" w:cs="Tahoma"/>
          <w:b/>
          <w:color w:val="000000"/>
          <w:sz w:val="24"/>
          <w:szCs w:val="24"/>
        </w:rPr>
        <w:t>Aziz</w:t>
      </w:r>
      <w:r w:rsidR="00480B2C" w:rsidRPr="00B534C8">
        <w:rPr>
          <w:rStyle w:val="FootnoteReference"/>
          <w:rFonts w:ascii="Tahoma" w:hAnsi="Tahoma" w:cs="Tahoma"/>
          <w:color w:val="000000"/>
          <w:sz w:val="24"/>
          <w:szCs w:val="24"/>
        </w:rPr>
        <w:footnoteReference w:id="73"/>
      </w:r>
      <w:r w:rsidR="00480B2C">
        <w:rPr>
          <w:rFonts w:ascii="Tahoma" w:hAnsi="Tahoma" w:cs="Tahoma"/>
          <w:color w:val="000000"/>
          <w:sz w:val="24"/>
          <w:szCs w:val="24"/>
        </w:rPr>
        <w:t xml:space="preserve">: </w:t>
      </w:r>
      <w:r w:rsidR="001B55EF">
        <w:rPr>
          <w:rFonts w:ascii="Tahoma" w:hAnsi="Tahoma" w:cs="Tahoma"/>
          <w:color w:val="000000"/>
          <w:sz w:val="24"/>
          <w:szCs w:val="24"/>
        </w:rPr>
        <w:t xml:space="preserve"> </w:t>
      </w:r>
      <w:r w:rsidR="00480B2C">
        <w:rPr>
          <w:rFonts w:ascii="Tahoma" w:hAnsi="Tahoma" w:cs="Tahoma"/>
          <w:color w:val="000000"/>
          <w:sz w:val="24"/>
          <w:szCs w:val="24"/>
        </w:rPr>
        <w:t xml:space="preserve"> </w:t>
      </w:r>
    </w:p>
    <w:p w:rsidR="00075E96" w:rsidRPr="00075E96" w:rsidRDefault="00075E96" w:rsidP="00075E96">
      <w:pPr>
        <w:autoSpaceDE w:val="0"/>
        <w:autoSpaceDN w:val="0"/>
        <w:adjustRightInd w:val="0"/>
        <w:spacing w:after="0" w:line="240" w:lineRule="auto"/>
        <w:ind w:left="1440" w:right="1440"/>
        <w:jc w:val="both"/>
        <w:rPr>
          <w:rFonts w:ascii="Tahoma" w:hAnsi="Tahoma" w:cs="Tahoma"/>
          <w:sz w:val="24"/>
          <w:szCs w:val="24"/>
        </w:rPr>
      </w:pPr>
      <w:r w:rsidRPr="00075E96">
        <w:rPr>
          <w:rFonts w:ascii="Tahoma" w:hAnsi="Tahoma" w:cs="Tahoma"/>
          <w:sz w:val="24"/>
          <w:szCs w:val="24"/>
        </w:rPr>
        <w:t>“Counsel for the Crown and the respondents made contradictory submissions as to the correct approach.  Counsel for the Crown submitted that a trial judge has a general discretion to decide whether a defendant without previous convictions has lost the right to directions in accordance with</w:t>
      </w:r>
      <w:r w:rsidRPr="00075E96">
        <w:rPr>
          <w:rFonts w:ascii="Tahoma" w:hAnsi="Tahoma" w:cs="Tahoma"/>
          <w:i/>
          <w:iCs/>
          <w:sz w:val="24"/>
          <w:szCs w:val="24"/>
        </w:rPr>
        <w:t xml:space="preserve"> R v </w:t>
      </w:r>
      <w:proofErr w:type="spellStart"/>
      <w:r w:rsidRPr="00075E96">
        <w:rPr>
          <w:rFonts w:ascii="Tahoma" w:hAnsi="Tahoma" w:cs="Tahoma"/>
          <w:i/>
          <w:iCs/>
          <w:sz w:val="24"/>
          <w:szCs w:val="24"/>
        </w:rPr>
        <w:t>Vye</w:t>
      </w:r>
      <w:proofErr w:type="spellEnd"/>
      <w:r w:rsidRPr="00075E96">
        <w:rPr>
          <w:rFonts w:ascii="Tahoma" w:hAnsi="Tahoma" w:cs="Tahoma"/>
          <w:sz w:val="24"/>
          <w:szCs w:val="24"/>
        </w:rPr>
        <w:t xml:space="preserve"> by reason of other criminal </w:t>
      </w:r>
      <w:proofErr w:type="spellStart"/>
      <w:r w:rsidRPr="00075E96">
        <w:rPr>
          <w:rFonts w:ascii="Tahoma" w:hAnsi="Tahoma" w:cs="Tahoma"/>
          <w:sz w:val="24"/>
          <w:szCs w:val="24"/>
        </w:rPr>
        <w:t>behaviour</w:t>
      </w:r>
      <w:proofErr w:type="spellEnd"/>
      <w:r w:rsidRPr="00075E96">
        <w:rPr>
          <w:rFonts w:ascii="Tahoma" w:hAnsi="Tahoma" w:cs="Tahoma"/>
          <w:sz w:val="24"/>
          <w:szCs w:val="24"/>
        </w:rPr>
        <w:t>. Counsel for the respondents argued that a defendant without previous convictions is always entitled to directions in accordance with</w:t>
      </w:r>
      <w:r w:rsidRPr="00075E96">
        <w:rPr>
          <w:rFonts w:ascii="Tahoma" w:hAnsi="Tahoma" w:cs="Tahoma"/>
          <w:i/>
          <w:iCs/>
          <w:sz w:val="24"/>
          <w:szCs w:val="24"/>
        </w:rPr>
        <w:t xml:space="preserve"> R v </w:t>
      </w:r>
      <w:proofErr w:type="spellStart"/>
      <w:r w:rsidRPr="00075E96">
        <w:rPr>
          <w:rFonts w:ascii="Tahoma" w:hAnsi="Tahoma" w:cs="Tahoma"/>
          <w:i/>
          <w:iCs/>
          <w:sz w:val="24"/>
          <w:szCs w:val="24"/>
        </w:rPr>
        <w:t>Vye</w:t>
      </w:r>
      <w:proofErr w:type="spellEnd"/>
      <w:r w:rsidRPr="00075E96">
        <w:rPr>
          <w:rFonts w:ascii="Tahoma" w:hAnsi="Tahoma" w:cs="Tahoma"/>
          <w:sz w:val="24"/>
          <w:szCs w:val="24"/>
        </w:rPr>
        <w:t xml:space="preserve"> but that the judge is entitled to ensure that a balanced picture is placed before the jury by adding such qualifications as seems to him appropriate.</w:t>
      </w:r>
    </w:p>
    <w:p w:rsidR="00075E96" w:rsidRPr="00075E96" w:rsidRDefault="00075E96" w:rsidP="00075E96">
      <w:pPr>
        <w:autoSpaceDE w:val="0"/>
        <w:autoSpaceDN w:val="0"/>
        <w:adjustRightInd w:val="0"/>
        <w:spacing w:after="0" w:line="240" w:lineRule="auto"/>
        <w:ind w:left="1440" w:right="1440"/>
        <w:rPr>
          <w:rFonts w:ascii="Tahoma" w:hAnsi="Tahoma" w:cs="Tahoma"/>
          <w:sz w:val="24"/>
          <w:szCs w:val="24"/>
        </w:rPr>
      </w:pPr>
    </w:p>
    <w:p w:rsidR="00075E96" w:rsidRDefault="00DA1C89" w:rsidP="00DA1C89">
      <w:pPr>
        <w:spacing w:after="100" w:line="240" w:lineRule="auto"/>
        <w:ind w:left="1440" w:right="1440"/>
        <w:jc w:val="both"/>
        <w:rPr>
          <w:rFonts w:ascii="Tahoma" w:eastAsia="Times New Roman" w:hAnsi="Tahoma" w:cs="Tahoma"/>
          <w:i/>
          <w:iCs/>
          <w:color w:val="000000"/>
          <w:sz w:val="24"/>
          <w:szCs w:val="24"/>
          <w:lang w:val="en-JM" w:eastAsia="en-JM"/>
        </w:rPr>
      </w:pPr>
      <w:r w:rsidRPr="00DA1C89">
        <w:rPr>
          <w:rFonts w:ascii="Tahoma" w:eastAsia="Times New Roman" w:hAnsi="Tahoma" w:cs="Tahoma"/>
          <w:color w:val="000000"/>
          <w:sz w:val="24"/>
          <w:szCs w:val="24"/>
          <w:lang w:val="en-JM" w:eastAsia="en-JM"/>
        </w:rPr>
        <w:t>A good starting point is that a judge should never be compelled to give meaningless or absurd directions. And cases occur from time to time where a defendant, who has no previous convictions, is shown beyond doubt to have been guilty of serious criminal behaviour similar to the offence charged in the indictment. A sensible criminal justice system should not compel a judge to go through the charade of giving directions in accordance with </w:t>
      </w:r>
      <w:r w:rsidRPr="00DA1C89">
        <w:rPr>
          <w:rFonts w:ascii="Tahoma" w:eastAsia="Times New Roman" w:hAnsi="Tahoma" w:cs="Tahoma"/>
          <w:i/>
          <w:iCs/>
          <w:color w:val="000000"/>
          <w:sz w:val="24"/>
          <w:szCs w:val="24"/>
          <w:lang w:val="en-JM" w:eastAsia="en-JM"/>
        </w:rPr>
        <w:t>Vye</w:t>
      </w:r>
      <w:r w:rsidRPr="00DA1C89">
        <w:rPr>
          <w:rFonts w:ascii="Tahoma" w:eastAsia="Times New Roman" w:hAnsi="Tahoma" w:cs="Tahoma"/>
          <w:color w:val="000000"/>
          <w:sz w:val="24"/>
          <w:szCs w:val="24"/>
          <w:lang w:val="en-JM" w:eastAsia="en-JM"/>
        </w:rPr>
        <w:t xml:space="preserve"> in a case where the defendant's claim to good character is spurious. I would therefore hold that a trial judge has a residual discretion to decline to give any character directions in the case of a defendant without previous convictions if the judge </w:t>
      </w:r>
      <w:r w:rsidRPr="00DA1C89">
        <w:rPr>
          <w:rFonts w:ascii="Tahoma" w:eastAsia="Times New Roman" w:hAnsi="Tahoma" w:cs="Tahoma"/>
          <w:color w:val="000000"/>
          <w:sz w:val="24"/>
          <w:szCs w:val="24"/>
          <w:lang w:val="en-JM" w:eastAsia="en-JM"/>
        </w:rPr>
        <w:lastRenderedPageBreak/>
        <w:t>considers it an insult to common sense to give directions in accordance with </w:t>
      </w:r>
      <w:r w:rsidRPr="00DA1C89">
        <w:rPr>
          <w:rFonts w:ascii="Tahoma" w:eastAsia="Times New Roman" w:hAnsi="Tahoma" w:cs="Tahoma"/>
          <w:i/>
          <w:iCs/>
          <w:color w:val="000000"/>
          <w:sz w:val="24"/>
          <w:szCs w:val="24"/>
          <w:lang w:val="en-JM" w:eastAsia="en-JM"/>
        </w:rPr>
        <w:t>Vye...</w:t>
      </w:r>
    </w:p>
    <w:p w:rsidR="00901873" w:rsidRDefault="00901873" w:rsidP="00901873">
      <w:pPr>
        <w:spacing w:after="0" w:line="240" w:lineRule="auto"/>
        <w:ind w:left="1440" w:right="1440"/>
        <w:jc w:val="both"/>
        <w:rPr>
          <w:rFonts w:ascii="Tahoma" w:eastAsia="Times New Roman" w:hAnsi="Tahoma" w:cs="Tahoma"/>
          <w:color w:val="000000"/>
          <w:sz w:val="24"/>
          <w:szCs w:val="24"/>
          <w:lang w:val="en-JM" w:eastAsia="en-JM"/>
        </w:rPr>
      </w:pPr>
    </w:p>
    <w:p w:rsidR="00DA1C89" w:rsidRPr="00DA1C89" w:rsidRDefault="00DA1C89" w:rsidP="00DA1C89">
      <w:pPr>
        <w:spacing w:after="100" w:line="240" w:lineRule="auto"/>
        <w:ind w:left="1440" w:right="1440"/>
        <w:jc w:val="both"/>
        <w:rPr>
          <w:rFonts w:ascii="Tahoma" w:eastAsia="Times New Roman" w:hAnsi="Tahoma" w:cs="Tahoma"/>
          <w:color w:val="000000"/>
          <w:sz w:val="24"/>
          <w:szCs w:val="24"/>
          <w:lang w:val="en-JM" w:eastAsia="en-JM"/>
        </w:rPr>
      </w:pPr>
      <w:r w:rsidRPr="00DA1C89">
        <w:rPr>
          <w:rFonts w:ascii="Tahoma" w:eastAsia="Times New Roman" w:hAnsi="Tahoma" w:cs="Tahoma"/>
          <w:color w:val="000000"/>
          <w:sz w:val="24"/>
          <w:szCs w:val="24"/>
          <w:lang w:val="en-JM" w:eastAsia="en-JM"/>
        </w:rPr>
        <w:t>That bring</w:t>
      </w:r>
      <w:r w:rsidR="001B46EC">
        <w:rPr>
          <w:rFonts w:ascii="Tahoma" w:eastAsia="Times New Roman" w:hAnsi="Tahoma" w:cs="Tahoma"/>
          <w:color w:val="000000"/>
          <w:sz w:val="24"/>
          <w:szCs w:val="24"/>
          <w:lang w:val="en-JM" w:eastAsia="en-JM"/>
        </w:rPr>
        <w:t>s</w:t>
      </w:r>
      <w:r w:rsidRPr="00DA1C89">
        <w:rPr>
          <w:rFonts w:ascii="Tahoma" w:eastAsia="Times New Roman" w:hAnsi="Tahoma" w:cs="Tahoma"/>
          <w:color w:val="000000"/>
          <w:sz w:val="24"/>
          <w:szCs w:val="24"/>
          <w:lang w:val="en-JM" w:eastAsia="en-JM"/>
        </w:rPr>
        <w:t xml:space="preserve"> me to the nature of the discretion. Discretions range from the open-textured discretionary powers to narrowly circumscribed discretionary powers. The residual discretion of a trial judge to dispense with character directions in respect of a defendant of good character is of the more limited variety. Prima facie the directions must be given. And the judge will often be able to place a fair and balanced picture before the jury by giving directions in accordance with </w:t>
      </w:r>
      <w:r w:rsidRPr="00DA1C89">
        <w:rPr>
          <w:rFonts w:ascii="Tahoma" w:eastAsia="Times New Roman" w:hAnsi="Tahoma" w:cs="Tahoma"/>
          <w:i/>
          <w:iCs/>
          <w:color w:val="000000"/>
          <w:sz w:val="24"/>
          <w:szCs w:val="24"/>
          <w:lang w:val="en-JM" w:eastAsia="en-JM"/>
        </w:rPr>
        <w:t>Vye</w:t>
      </w:r>
      <w:r w:rsidR="00B534C8" w:rsidRPr="00B534C8">
        <w:rPr>
          <w:rFonts w:ascii="Tahoma" w:eastAsia="Times New Roman" w:hAnsi="Tahoma" w:cs="Tahoma"/>
          <w:iCs/>
          <w:color w:val="000000"/>
          <w:sz w:val="24"/>
          <w:szCs w:val="24"/>
          <w:lang w:val="en-JM" w:eastAsia="en-JM"/>
        </w:rPr>
        <w:t>...</w:t>
      </w:r>
      <w:r w:rsidRPr="00DA1C89">
        <w:rPr>
          <w:rFonts w:ascii="Tahoma" w:eastAsia="Times New Roman" w:hAnsi="Tahoma" w:cs="Tahoma"/>
          <w:color w:val="000000"/>
          <w:sz w:val="24"/>
          <w:szCs w:val="24"/>
          <w:lang w:val="en-JM" w:eastAsia="en-JM"/>
        </w:rPr>
        <w:t>and then adding words of qualification concerning other proved or possible criminal conduct of the defendant which emerged during the trial. On the other hand, if it would make no sense to give character directions in accordance with </w:t>
      </w:r>
      <w:r w:rsidRPr="00DA1C89">
        <w:rPr>
          <w:rFonts w:ascii="Tahoma" w:eastAsia="Times New Roman" w:hAnsi="Tahoma" w:cs="Tahoma"/>
          <w:i/>
          <w:iCs/>
          <w:color w:val="000000"/>
          <w:sz w:val="24"/>
          <w:szCs w:val="24"/>
          <w:lang w:val="en-JM" w:eastAsia="en-JM"/>
        </w:rPr>
        <w:t>Vye,</w:t>
      </w:r>
      <w:r w:rsidRPr="00DA1C89">
        <w:rPr>
          <w:rFonts w:ascii="Tahoma" w:eastAsia="Times New Roman" w:hAnsi="Tahoma" w:cs="Tahoma"/>
          <w:color w:val="000000"/>
          <w:sz w:val="24"/>
          <w:szCs w:val="24"/>
          <w:lang w:val="en-JM" w:eastAsia="en-JM"/>
        </w:rPr>
        <w:t> the judge may in his discretion dispense with them.</w:t>
      </w:r>
    </w:p>
    <w:p w:rsidR="00901873" w:rsidRDefault="00901873" w:rsidP="00901873">
      <w:pPr>
        <w:spacing w:after="0" w:line="240" w:lineRule="auto"/>
        <w:ind w:left="1440" w:right="1440"/>
        <w:jc w:val="both"/>
        <w:rPr>
          <w:rFonts w:ascii="Tahoma" w:eastAsia="Times New Roman" w:hAnsi="Tahoma" w:cs="Tahoma"/>
          <w:color w:val="000000"/>
          <w:sz w:val="24"/>
          <w:szCs w:val="24"/>
          <w:lang w:val="en-JM" w:eastAsia="en-JM"/>
        </w:rPr>
      </w:pPr>
    </w:p>
    <w:p w:rsidR="00DA1C89" w:rsidRDefault="00DA1C89" w:rsidP="00DA1C89">
      <w:pPr>
        <w:spacing w:after="100" w:line="240" w:lineRule="auto"/>
        <w:ind w:left="1440" w:right="1440"/>
        <w:jc w:val="both"/>
        <w:rPr>
          <w:rFonts w:ascii="Tahoma" w:eastAsia="Times New Roman" w:hAnsi="Tahoma" w:cs="Tahoma"/>
          <w:color w:val="000000"/>
          <w:sz w:val="24"/>
          <w:szCs w:val="24"/>
          <w:lang w:val="en-JM" w:eastAsia="en-JM"/>
        </w:rPr>
      </w:pPr>
      <w:r w:rsidRPr="00DA1C89">
        <w:rPr>
          <w:rFonts w:ascii="Tahoma" w:eastAsia="Times New Roman" w:hAnsi="Tahoma" w:cs="Tahoma"/>
          <w:color w:val="000000"/>
          <w:sz w:val="24"/>
          <w:szCs w:val="24"/>
          <w:lang w:val="en-JM" w:eastAsia="en-JM"/>
        </w:rPr>
        <w:t>Subject to these views, I do not believe that it is desirable to generalise about this essentially practical subject which may be left to the good sense of trial judges. It is worth adding, however, that whenever a trial judge proposes to give a direction, which is not likely to be anticipated by counsel, the judge should follow the commendable practice of inviting submissions on his proposed directions."</w:t>
      </w:r>
    </w:p>
    <w:p w:rsidR="00825842" w:rsidRDefault="00825842" w:rsidP="00825842">
      <w:pPr>
        <w:pStyle w:val="NormalWeb"/>
        <w:spacing w:before="0" w:beforeAutospacing="0" w:after="0" w:afterAutospacing="0"/>
        <w:jc w:val="both"/>
        <w:textAlignment w:val="baseline"/>
        <w:rPr>
          <w:rFonts w:ascii="Tahoma" w:hAnsi="Tahoma" w:cs="Tahoma"/>
          <w:color w:val="000000"/>
          <w:lang w:val="en-JM" w:eastAsia="en-JM"/>
        </w:rPr>
      </w:pPr>
    </w:p>
    <w:p w:rsidR="00CD6F8E" w:rsidRDefault="0094522F" w:rsidP="00643597">
      <w:pPr>
        <w:pStyle w:val="NormalWeb"/>
        <w:spacing w:before="0" w:beforeAutospacing="0" w:after="0" w:afterAutospacing="0" w:line="480" w:lineRule="auto"/>
        <w:jc w:val="both"/>
        <w:textAlignment w:val="baseline"/>
        <w:rPr>
          <w:rFonts w:ascii="Tahoma" w:hAnsi="Tahoma" w:cs="Tahoma"/>
          <w:color w:val="333335"/>
        </w:rPr>
      </w:pPr>
      <w:r>
        <w:rPr>
          <w:rFonts w:ascii="Tahoma" w:hAnsi="Tahoma" w:cs="Tahoma"/>
          <w:color w:val="000000"/>
          <w:lang w:val="en-JM" w:eastAsia="en-JM"/>
        </w:rPr>
        <w:t>41</w:t>
      </w:r>
      <w:r w:rsidR="00AB716A" w:rsidRPr="00643597">
        <w:rPr>
          <w:rFonts w:ascii="Tahoma" w:hAnsi="Tahoma" w:cs="Tahoma"/>
          <w:color w:val="000000"/>
          <w:lang w:val="en-JM" w:eastAsia="en-JM"/>
        </w:rPr>
        <w:t>.</w:t>
      </w:r>
      <w:r w:rsidR="00075E96" w:rsidRPr="00643597">
        <w:rPr>
          <w:rFonts w:ascii="Tahoma" w:hAnsi="Tahoma" w:cs="Tahoma"/>
          <w:color w:val="000000"/>
          <w:lang w:val="en-JM" w:eastAsia="en-JM"/>
        </w:rPr>
        <w:t xml:space="preserve">   So although both a propensity and a credibility direction are required if the issue of the defendant’s good character has been raised, they will be unnecessary if they would, “in the circumstances, amount to an insult to common sense”</w:t>
      </w:r>
      <w:r w:rsidR="004F5192" w:rsidRPr="00643597">
        <w:rPr>
          <w:rStyle w:val="FootnoteReference"/>
          <w:rFonts w:ascii="Tahoma" w:hAnsi="Tahoma" w:cs="Tahoma"/>
          <w:color w:val="000000"/>
          <w:lang w:val="en-JM" w:eastAsia="en-JM"/>
        </w:rPr>
        <w:footnoteReference w:id="74"/>
      </w:r>
      <w:r w:rsidR="00075E96" w:rsidRPr="00643597">
        <w:rPr>
          <w:rFonts w:ascii="Tahoma" w:hAnsi="Tahoma" w:cs="Tahoma"/>
          <w:color w:val="000000"/>
          <w:lang w:val="en-JM" w:eastAsia="en-JM"/>
        </w:rPr>
        <w:t>.</w:t>
      </w:r>
      <w:r w:rsidR="00CD6F8E" w:rsidRPr="00643597">
        <w:rPr>
          <w:rFonts w:ascii="Tahoma" w:hAnsi="Tahoma" w:cs="Tahoma"/>
          <w:color w:val="000000"/>
          <w:lang w:val="en-JM" w:eastAsia="en-JM"/>
        </w:rPr>
        <w:t xml:space="preserve"> </w:t>
      </w:r>
      <w:r w:rsidR="00825842">
        <w:rPr>
          <w:rFonts w:ascii="Tahoma" w:hAnsi="Tahoma" w:cs="Tahoma"/>
          <w:color w:val="000000"/>
          <w:lang w:val="en-JM" w:eastAsia="en-JM"/>
        </w:rPr>
        <w:t>T</w:t>
      </w:r>
      <w:r w:rsidR="00CD6F8E" w:rsidRPr="00643597">
        <w:rPr>
          <w:rFonts w:ascii="Tahoma" w:hAnsi="Tahoma" w:cs="Tahoma"/>
          <w:color w:val="000000"/>
          <w:lang w:val="en-JM" w:eastAsia="en-JM"/>
        </w:rPr>
        <w:t xml:space="preserve">he decision of the Court of Appeal of England and Wales in </w:t>
      </w:r>
      <w:r w:rsidR="00CD6F8E" w:rsidRPr="00643597">
        <w:rPr>
          <w:rFonts w:ascii="Tahoma" w:hAnsi="Tahoma" w:cs="Tahoma"/>
          <w:b/>
          <w:color w:val="000000"/>
          <w:lang w:val="en-JM" w:eastAsia="en-JM"/>
        </w:rPr>
        <w:t>R v Young</w:t>
      </w:r>
      <w:r w:rsidR="00CD6F8E" w:rsidRPr="00643597">
        <w:rPr>
          <w:rStyle w:val="FootnoteReference"/>
          <w:rFonts w:ascii="Tahoma" w:hAnsi="Tahoma" w:cs="Tahoma"/>
          <w:color w:val="000000"/>
          <w:lang w:val="en-JM" w:eastAsia="en-JM"/>
        </w:rPr>
        <w:footnoteReference w:id="75"/>
      </w:r>
      <w:r w:rsidR="00825842">
        <w:rPr>
          <w:rFonts w:ascii="Tahoma" w:hAnsi="Tahoma" w:cs="Tahoma"/>
          <w:b/>
          <w:color w:val="000000"/>
          <w:lang w:val="en-JM" w:eastAsia="en-JM"/>
        </w:rPr>
        <w:t xml:space="preserve"> </w:t>
      </w:r>
      <w:r w:rsidR="00825842" w:rsidRPr="00825842">
        <w:rPr>
          <w:rFonts w:ascii="Tahoma" w:hAnsi="Tahoma" w:cs="Tahoma"/>
          <w:color w:val="000000"/>
          <w:lang w:val="en-JM" w:eastAsia="en-JM"/>
        </w:rPr>
        <w:t>provides</w:t>
      </w:r>
      <w:r w:rsidR="00825842">
        <w:rPr>
          <w:rFonts w:ascii="Tahoma" w:hAnsi="Tahoma" w:cs="Tahoma"/>
          <w:color w:val="000000"/>
          <w:lang w:val="en-JM" w:eastAsia="en-JM"/>
        </w:rPr>
        <w:t xml:space="preserve"> a</w:t>
      </w:r>
      <w:r w:rsidR="00825842" w:rsidRPr="00643597">
        <w:rPr>
          <w:rFonts w:ascii="Tahoma" w:hAnsi="Tahoma" w:cs="Tahoma"/>
          <w:color w:val="000000"/>
          <w:lang w:val="en-JM" w:eastAsia="en-JM"/>
        </w:rPr>
        <w:t xml:space="preserve"> good example</w:t>
      </w:r>
      <w:r w:rsidR="00643597" w:rsidRPr="00643597">
        <w:rPr>
          <w:rFonts w:ascii="Tahoma" w:hAnsi="Tahoma" w:cs="Tahoma"/>
          <w:color w:val="000000"/>
          <w:lang w:val="en-JM" w:eastAsia="en-JM"/>
        </w:rPr>
        <w:t>. In that case</w:t>
      </w:r>
      <w:r w:rsidR="00CD6F8E" w:rsidRPr="00643597">
        <w:rPr>
          <w:rFonts w:ascii="Tahoma" w:hAnsi="Tahoma" w:cs="Tahoma"/>
          <w:color w:val="000000"/>
          <w:lang w:val="en-JM" w:eastAsia="en-JM"/>
        </w:rPr>
        <w:t xml:space="preserve">, </w:t>
      </w:r>
      <w:r w:rsidR="00643597">
        <w:rPr>
          <w:rFonts w:ascii="Tahoma" w:hAnsi="Tahoma" w:cs="Tahoma"/>
          <w:color w:val="000000"/>
          <w:lang w:val="en-JM" w:eastAsia="en-JM"/>
        </w:rPr>
        <w:t xml:space="preserve">in which the complaint on appeal was that the trial judge had failed to give a good character </w:t>
      </w:r>
      <w:proofErr w:type="gramStart"/>
      <w:r w:rsidR="00643597">
        <w:rPr>
          <w:rFonts w:ascii="Tahoma" w:hAnsi="Tahoma" w:cs="Tahoma"/>
          <w:color w:val="000000"/>
          <w:lang w:val="en-JM" w:eastAsia="en-JM"/>
        </w:rPr>
        <w:t>direction,</w:t>
      </w:r>
      <w:proofErr w:type="gramEnd"/>
      <w:r w:rsidR="00643597">
        <w:rPr>
          <w:rFonts w:ascii="Tahoma" w:hAnsi="Tahoma" w:cs="Tahoma"/>
          <w:color w:val="000000"/>
          <w:lang w:val="en-JM" w:eastAsia="en-JM"/>
        </w:rPr>
        <w:t xml:space="preserve"> </w:t>
      </w:r>
      <w:r w:rsidR="00643597" w:rsidRPr="00643597">
        <w:rPr>
          <w:rFonts w:ascii="Tahoma" w:hAnsi="Tahoma" w:cs="Tahoma"/>
          <w:color w:val="000000"/>
          <w:lang w:val="en-JM" w:eastAsia="en-JM"/>
        </w:rPr>
        <w:t>t</w:t>
      </w:r>
      <w:r w:rsidR="00CD6F8E" w:rsidRPr="00643597">
        <w:rPr>
          <w:rFonts w:ascii="Tahoma" w:hAnsi="Tahoma" w:cs="Tahoma"/>
          <w:color w:val="000000"/>
          <w:lang w:val="en-JM" w:eastAsia="en-JM"/>
        </w:rPr>
        <w:t xml:space="preserve">he court </w:t>
      </w:r>
      <w:r w:rsidR="00643597">
        <w:rPr>
          <w:rFonts w:ascii="Tahoma" w:hAnsi="Tahoma" w:cs="Tahoma"/>
          <w:color w:val="000000"/>
          <w:lang w:val="en-JM" w:eastAsia="en-JM"/>
        </w:rPr>
        <w:t>accepted</w:t>
      </w:r>
      <w:r w:rsidR="00CD6F8E" w:rsidRPr="00643597">
        <w:rPr>
          <w:rFonts w:ascii="Tahoma" w:hAnsi="Tahoma" w:cs="Tahoma"/>
          <w:color w:val="000000"/>
          <w:lang w:val="en-JM" w:eastAsia="en-JM"/>
        </w:rPr>
        <w:t xml:space="preserve"> that </w:t>
      </w:r>
      <w:r w:rsidR="00CD6F8E" w:rsidRPr="00643597">
        <w:rPr>
          <w:rFonts w:ascii="Tahoma" w:hAnsi="Tahoma" w:cs="Tahoma"/>
          <w:color w:val="333335"/>
        </w:rPr>
        <w:t>the appellant was of good character, in the sense that he had no previous convictions</w:t>
      </w:r>
      <w:r w:rsidR="00643597">
        <w:rPr>
          <w:rFonts w:ascii="Tahoma" w:hAnsi="Tahoma" w:cs="Tahoma"/>
          <w:color w:val="333335"/>
        </w:rPr>
        <w:t xml:space="preserve">. </w:t>
      </w:r>
      <w:r w:rsidR="00643597" w:rsidRPr="00643597">
        <w:rPr>
          <w:rFonts w:ascii="Tahoma" w:hAnsi="Tahoma" w:cs="Tahoma"/>
          <w:i/>
          <w:color w:val="333335"/>
        </w:rPr>
        <w:t>P</w:t>
      </w:r>
      <w:r w:rsidR="00CD6F8E" w:rsidRPr="00643597">
        <w:rPr>
          <w:rStyle w:val="Emphasis"/>
          <w:rFonts w:ascii="Tahoma" w:hAnsi="Tahoma" w:cs="Tahoma"/>
          <w:color w:val="333335"/>
          <w:bdr w:val="none" w:sz="0" w:space="0" w:color="auto" w:frame="1"/>
        </w:rPr>
        <w:t>rima facie</w:t>
      </w:r>
      <w:r w:rsidR="00CD6F8E" w:rsidRPr="00643597">
        <w:rPr>
          <w:rFonts w:ascii="Tahoma" w:hAnsi="Tahoma" w:cs="Tahoma"/>
          <w:color w:val="333335"/>
        </w:rPr>
        <w:t>, therefore</w:t>
      </w:r>
      <w:r w:rsidR="00643597">
        <w:rPr>
          <w:rFonts w:ascii="Tahoma" w:hAnsi="Tahoma" w:cs="Tahoma"/>
          <w:color w:val="333335"/>
        </w:rPr>
        <w:t xml:space="preserve">, he had been </w:t>
      </w:r>
      <w:r w:rsidR="00CD6F8E" w:rsidRPr="00643597">
        <w:rPr>
          <w:rFonts w:ascii="Tahoma" w:hAnsi="Tahoma" w:cs="Tahoma"/>
          <w:color w:val="333335"/>
        </w:rPr>
        <w:t xml:space="preserve">entitled to the full direction as to character </w:t>
      </w:r>
      <w:r w:rsidR="007B2070" w:rsidRPr="00643597">
        <w:rPr>
          <w:rFonts w:ascii="Tahoma" w:hAnsi="Tahoma" w:cs="Tahoma"/>
          <w:color w:val="333335"/>
        </w:rPr>
        <w:t xml:space="preserve">in accordance with </w:t>
      </w:r>
      <w:proofErr w:type="spellStart"/>
      <w:r w:rsidR="007B2070" w:rsidRPr="00643597">
        <w:rPr>
          <w:rFonts w:ascii="Tahoma" w:hAnsi="Tahoma" w:cs="Tahoma"/>
          <w:b/>
          <w:color w:val="333335"/>
        </w:rPr>
        <w:t>Vye</w:t>
      </w:r>
      <w:proofErr w:type="spellEnd"/>
      <w:r w:rsidR="007B2070" w:rsidRPr="00643597">
        <w:rPr>
          <w:rFonts w:ascii="Tahoma" w:hAnsi="Tahoma" w:cs="Tahoma"/>
          <w:color w:val="333335"/>
        </w:rPr>
        <w:t xml:space="preserve"> and </w:t>
      </w:r>
      <w:r w:rsidR="007B2070" w:rsidRPr="00643597">
        <w:rPr>
          <w:rFonts w:ascii="Tahoma" w:hAnsi="Tahoma" w:cs="Tahoma"/>
          <w:b/>
          <w:color w:val="333335"/>
        </w:rPr>
        <w:t>Aziz</w:t>
      </w:r>
      <w:r w:rsidR="007B2070" w:rsidRPr="00643597">
        <w:rPr>
          <w:rFonts w:ascii="Tahoma" w:hAnsi="Tahoma" w:cs="Tahoma"/>
          <w:color w:val="333335"/>
        </w:rPr>
        <w:t xml:space="preserve">. However, </w:t>
      </w:r>
      <w:r w:rsidR="001B46EC">
        <w:rPr>
          <w:rFonts w:ascii="Tahoma" w:hAnsi="Tahoma" w:cs="Tahoma"/>
          <w:color w:val="333335"/>
        </w:rPr>
        <w:lastRenderedPageBreak/>
        <w:t xml:space="preserve">in a judgment delivered by Latham LJ, </w:t>
      </w:r>
      <w:r w:rsidR="007B2070" w:rsidRPr="00643597">
        <w:rPr>
          <w:rFonts w:ascii="Tahoma" w:hAnsi="Tahoma" w:cs="Tahoma"/>
          <w:color w:val="333335"/>
        </w:rPr>
        <w:t>the court considered it</w:t>
      </w:r>
      <w:r w:rsidR="00643597">
        <w:rPr>
          <w:rStyle w:val="FootnoteReference"/>
          <w:rFonts w:ascii="Tahoma" w:hAnsi="Tahoma" w:cs="Tahoma"/>
          <w:color w:val="333335"/>
        </w:rPr>
        <w:footnoteReference w:id="76"/>
      </w:r>
      <w:r w:rsidR="007B2070" w:rsidRPr="00643597">
        <w:rPr>
          <w:rFonts w:ascii="Tahoma" w:hAnsi="Tahoma" w:cs="Tahoma"/>
          <w:color w:val="333335"/>
        </w:rPr>
        <w:t xml:space="preserve"> to be clear from the evidence that</w:t>
      </w:r>
      <w:r w:rsidR="00CD6F8E" w:rsidRPr="00643597">
        <w:rPr>
          <w:rFonts w:ascii="Tahoma" w:hAnsi="Tahoma" w:cs="Tahoma"/>
          <w:color w:val="333335"/>
        </w:rPr>
        <w:t xml:space="preserve"> the </w:t>
      </w:r>
      <w:r w:rsidR="007B2070" w:rsidRPr="00643597">
        <w:rPr>
          <w:rFonts w:ascii="Tahoma" w:hAnsi="Tahoma" w:cs="Tahoma"/>
          <w:color w:val="333335"/>
        </w:rPr>
        <w:t>a</w:t>
      </w:r>
      <w:r w:rsidR="00CD6F8E" w:rsidRPr="00643597">
        <w:rPr>
          <w:rFonts w:ascii="Tahoma" w:hAnsi="Tahoma" w:cs="Tahoma"/>
          <w:color w:val="333335"/>
        </w:rPr>
        <w:t xml:space="preserve">ppellant </w:t>
      </w:r>
      <w:r w:rsidR="007B2070" w:rsidRPr="00643597">
        <w:rPr>
          <w:rFonts w:ascii="Tahoma" w:hAnsi="Tahoma" w:cs="Tahoma"/>
          <w:color w:val="333335"/>
        </w:rPr>
        <w:t>“</w:t>
      </w:r>
      <w:r w:rsidR="00CD6F8E" w:rsidRPr="00643597">
        <w:rPr>
          <w:rFonts w:ascii="Tahoma" w:hAnsi="Tahoma" w:cs="Tahoma"/>
          <w:color w:val="333335"/>
        </w:rPr>
        <w:t>had undoubtedly lied about fundamental aspects of the case</w:t>
      </w:r>
      <w:r w:rsidR="007B2070" w:rsidRPr="00643597">
        <w:rPr>
          <w:rFonts w:ascii="Tahoma" w:hAnsi="Tahoma" w:cs="Tahoma"/>
          <w:color w:val="333335"/>
        </w:rPr>
        <w:t>” and that, i</w:t>
      </w:r>
      <w:r w:rsidR="00CD6F8E" w:rsidRPr="00643597">
        <w:rPr>
          <w:rFonts w:ascii="Tahoma" w:hAnsi="Tahoma" w:cs="Tahoma"/>
          <w:color w:val="333335"/>
        </w:rPr>
        <w:t>n those circumstances</w:t>
      </w:r>
      <w:r w:rsidR="007B2070" w:rsidRPr="00643597">
        <w:rPr>
          <w:rFonts w:ascii="Tahoma" w:hAnsi="Tahoma" w:cs="Tahoma"/>
          <w:color w:val="333335"/>
        </w:rPr>
        <w:t>,</w:t>
      </w:r>
      <w:r w:rsidR="00CD6F8E" w:rsidRPr="00643597">
        <w:rPr>
          <w:rFonts w:ascii="Tahoma" w:hAnsi="Tahoma" w:cs="Tahoma"/>
          <w:color w:val="333335"/>
        </w:rPr>
        <w:t xml:space="preserve"> </w:t>
      </w:r>
      <w:r w:rsidR="007B2070" w:rsidRPr="00643597">
        <w:rPr>
          <w:rFonts w:ascii="Tahoma" w:hAnsi="Tahoma" w:cs="Tahoma"/>
          <w:color w:val="333335"/>
        </w:rPr>
        <w:t>“</w:t>
      </w:r>
      <w:r w:rsidR="00CD6F8E" w:rsidRPr="00643597">
        <w:rPr>
          <w:rFonts w:ascii="Tahoma" w:hAnsi="Tahoma" w:cs="Tahoma"/>
          <w:color w:val="333335"/>
        </w:rPr>
        <w:t xml:space="preserve">it would be absurd to suggest - to use the words used by Lord </w:t>
      </w:r>
      <w:proofErr w:type="spellStart"/>
      <w:r w:rsidR="00CD6F8E" w:rsidRPr="00643597">
        <w:rPr>
          <w:rFonts w:ascii="Tahoma" w:hAnsi="Tahoma" w:cs="Tahoma"/>
          <w:color w:val="333335"/>
        </w:rPr>
        <w:t>Steyn</w:t>
      </w:r>
      <w:proofErr w:type="spellEnd"/>
      <w:r w:rsidR="00CD6F8E" w:rsidRPr="00643597">
        <w:rPr>
          <w:rFonts w:ascii="Tahoma" w:hAnsi="Tahoma" w:cs="Tahoma"/>
          <w:color w:val="333335"/>
        </w:rPr>
        <w:t xml:space="preserve"> - that the jury could sensibly have been given a credibility direction</w:t>
      </w:r>
      <w:r w:rsidR="007B2070" w:rsidRPr="00643597">
        <w:rPr>
          <w:rFonts w:ascii="Tahoma" w:hAnsi="Tahoma" w:cs="Tahoma"/>
          <w:color w:val="333335"/>
        </w:rPr>
        <w:t>”</w:t>
      </w:r>
      <w:r w:rsidR="00CD6F8E" w:rsidRPr="00643597">
        <w:rPr>
          <w:rFonts w:ascii="Tahoma" w:hAnsi="Tahoma" w:cs="Tahoma"/>
          <w:color w:val="333335"/>
        </w:rPr>
        <w:t>.</w:t>
      </w:r>
      <w:r w:rsidR="007B2070" w:rsidRPr="00643597">
        <w:rPr>
          <w:rFonts w:ascii="Tahoma" w:hAnsi="Tahoma" w:cs="Tahoma"/>
          <w:color w:val="333335"/>
        </w:rPr>
        <w:t xml:space="preserve"> </w:t>
      </w:r>
      <w:r w:rsidR="00CD6F8E" w:rsidRPr="00643597">
        <w:rPr>
          <w:rFonts w:ascii="Tahoma" w:hAnsi="Tahoma" w:cs="Tahoma"/>
          <w:color w:val="333335"/>
        </w:rPr>
        <w:t xml:space="preserve">As far as propensity </w:t>
      </w:r>
      <w:r w:rsidR="007B2070" w:rsidRPr="00643597">
        <w:rPr>
          <w:rFonts w:ascii="Tahoma" w:hAnsi="Tahoma" w:cs="Tahoma"/>
          <w:color w:val="333335"/>
        </w:rPr>
        <w:t>was</w:t>
      </w:r>
      <w:r w:rsidR="00CD6F8E" w:rsidRPr="00643597">
        <w:rPr>
          <w:rFonts w:ascii="Tahoma" w:hAnsi="Tahoma" w:cs="Tahoma"/>
          <w:color w:val="333335"/>
        </w:rPr>
        <w:t xml:space="preserve"> concerned, </w:t>
      </w:r>
      <w:r w:rsidR="007B2070" w:rsidRPr="00643597">
        <w:rPr>
          <w:rFonts w:ascii="Tahoma" w:hAnsi="Tahoma" w:cs="Tahoma"/>
          <w:color w:val="333335"/>
        </w:rPr>
        <w:t xml:space="preserve">the court pointed out that </w:t>
      </w:r>
      <w:r w:rsidR="00CD6F8E" w:rsidRPr="00643597">
        <w:rPr>
          <w:rFonts w:ascii="Tahoma" w:hAnsi="Tahoma" w:cs="Tahoma"/>
          <w:color w:val="333335"/>
        </w:rPr>
        <w:t xml:space="preserve">the </w:t>
      </w:r>
      <w:r w:rsidR="007B2070" w:rsidRPr="00643597">
        <w:rPr>
          <w:rFonts w:ascii="Tahoma" w:hAnsi="Tahoma" w:cs="Tahoma"/>
          <w:color w:val="333335"/>
        </w:rPr>
        <w:t>a</w:t>
      </w:r>
      <w:r w:rsidR="00CD6F8E" w:rsidRPr="00643597">
        <w:rPr>
          <w:rFonts w:ascii="Tahoma" w:hAnsi="Tahoma" w:cs="Tahoma"/>
          <w:color w:val="333335"/>
        </w:rPr>
        <w:t xml:space="preserve">ppellant had effectively had to accept </w:t>
      </w:r>
      <w:r w:rsidR="00643597" w:rsidRPr="00643597">
        <w:rPr>
          <w:rFonts w:ascii="Tahoma" w:hAnsi="Tahoma" w:cs="Tahoma"/>
          <w:color w:val="333335"/>
        </w:rPr>
        <w:t xml:space="preserve">in evidence </w:t>
      </w:r>
      <w:r w:rsidR="00CD6F8E" w:rsidRPr="00643597">
        <w:rPr>
          <w:rFonts w:ascii="Tahoma" w:hAnsi="Tahoma" w:cs="Tahoma"/>
          <w:color w:val="333335"/>
        </w:rPr>
        <w:t xml:space="preserve">that the way he carried on his business was potentially </w:t>
      </w:r>
      <w:r w:rsidR="007B2070" w:rsidRPr="00643597">
        <w:rPr>
          <w:rFonts w:ascii="Tahoma" w:hAnsi="Tahoma" w:cs="Tahoma"/>
          <w:color w:val="333335"/>
        </w:rPr>
        <w:t xml:space="preserve">fraudulent and that </w:t>
      </w:r>
      <w:r w:rsidR="00CD6F8E" w:rsidRPr="00643597">
        <w:rPr>
          <w:rFonts w:ascii="Tahoma" w:hAnsi="Tahoma" w:cs="Tahoma"/>
          <w:color w:val="333335"/>
        </w:rPr>
        <w:t xml:space="preserve">he </w:t>
      </w:r>
      <w:r w:rsidR="007B2070" w:rsidRPr="00643597">
        <w:rPr>
          <w:rFonts w:ascii="Tahoma" w:hAnsi="Tahoma" w:cs="Tahoma"/>
          <w:color w:val="333335"/>
        </w:rPr>
        <w:t>had been</w:t>
      </w:r>
      <w:r w:rsidR="00CD6F8E" w:rsidRPr="00643597">
        <w:rPr>
          <w:rFonts w:ascii="Tahoma" w:hAnsi="Tahoma" w:cs="Tahoma"/>
          <w:color w:val="333335"/>
        </w:rPr>
        <w:t xml:space="preserve"> in possession of at least two (and the evidence suggested significantly more) illicit firearms</w:t>
      </w:r>
      <w:r w:rsidR="007B2070" w:rsidRPr="00643597">
        <w:rPr>
          <w:rFonts w:ascii="Tahoma" w:hAnsi="Tahoma" w:cs="Tahoma"/>
          <w:color w:val="333335"/>
        </w:rPr>
        <w:t>, a fact which</w:t>
      </w:r>
      <w:r w:rsidR="00CD6F8E" w:rsidRPr="00643597">
        <w:rPr>
          <w:rFonts w:ascii="Tahoma" w:hAnsi="Tahoma" w:cs="Tahoma"/>
          <w:color w:val="333335"/>
        </w:rPr>
        <w:t xml:space="preserve"> might have been considered by the jury to be something relevant to propensity in a way which would make a propensity direction inappropriate.</w:t>
      </w:r>
      <w:r w:rsidR="00643597" w:rsidRPr="00643597">
        <w:rPr>
          <w:rFonts w:ascii="Tahoma" w:hAnsi="Tahoma" w:cs="Tahoma"/>
          <w:color w:val="333335"/>
        </w:rPr>
        <w:t xml:space="preserve"> </w:t>
      </w:r>
      <w:r w:rsidR="00643597">
        <w:rPr>
          <w:rFonts w:ascii="Tahoma" w:hAnsi="Tahoma" w:cs="Tahoma"/>
          <w:color w:val="333335"/>
        </w:rPr>
        <w:t>Additionally, i</w:t>
      </w:r>
      <w:r w:rsidR="00643597" w:rsidRPr="00643597">
        <w:rPr>
          <w:rStyle w:val="Strong"/>
          <w:rFonts w:ascii="Tahoma" w:hAnsi="Tahoma" w:cs="Tahoma"/>
          <w:b w:val="0"/>
          <w:color w:val="333335"/>
          <w:bdr w:val="none" w:sz="0" w:space="0" w:color="auto" w:frame="1"/>
        </w:rPr>
        <w:t>t appeared that,</w:t>
      </w:r>
      <w:r w:rsidR="00643597" w:rsidRPr="00643597">
        <w:rPr>
          <w:rStyle w:val="Strong"/>
          <w:rFonts w:ascii="Tahoma" w:hAnsi="Tahoma" w:cs="Tahoma"/>
          <w:color w:val="333335"/>
          <w:bdr w:val="none" w:sz="0" w:space="0" w:color="auto" w:frame="1"/>
        </w:rPr>
        <w:t xml:space="preserve"> </w:t>
      </w:r>
      <w:r w:rsidR="00CD6F8E" w:rsidRPr="00643597">
        <w:rPr>
          <w:rFonts w:ascii="Tahoma" w:hAnsi="Tahoma" w:cs="Tahoma"/>
          <w:color w:val="333335"/>
        </w:rPr>
        <w:t xml:space="preserve">immediately before the summing-up commenced, the judge </w:t>
      </w:r>
      <w:r w:rsidR="00643597" w:rsidRPr="00643597">
        <w:rPr>
          <w:rFonts w:ascii="Tahoma" w:hAnsi="Tahoma" w:cs="Tahoma"/>
          <w:color w:val="333335"/>
        </w:rPr>
        <w:t xml:space="preserve">had </w:t>
      </w:r>
      <w:r w:rsidR="00CD6F8E" w:rsidRPr="00643597">
        <w:rPr>
          <w:rFonts w:ascii="Tahoma" w:hAnsi="Tahoma" w:cs="Tahoma"/>
          <w:color w:val="333335"/>
        </w:rPr>
        <w:t xml:space="preserve">expressly canvassed with counsel the question of character directions, indicating that he considered that a character direction was inappropriate; and counsel for the </w:t>
      </w:r>
      <w:r w:rsidR="00643597" w:rsidRPr="00643597">
        <w:rPr>
          <w:rFonts w:ascii="Tahoma" w:hAnsi="Tahoma" w:cs="Tahoma"/>
          <w:color w:val="333335"/>
        </w:rPr>
        <w:t>a</w:t>
      </w:r>
      <w:r w:rsidR="00CD6F8E" w:rsidRPr="00643597">
        <w:rPr>
          <w:rFonts w:ascii="Tahoma" w:hAnsi="Tahoma" w:cs="Tahoma"/>
          <w:color w:val="333335"/>
        </w:rPr>
        <w:t>ppellant did not seek to argue the contrary.</w:t>
      </w:r>
      <w:r w:rsidR="00643597">
        <w:rPr>
          <w:rFonts w:ascii="Tahoma" w:hAnsi="Tahoma" w:cs="Tahoma"/>
          <w:color w:val="333335"/>
        </w:rPr>
        <w:t xml:space="preserve"> </w:t>
      </w:r>
      <w:r w:rsidR="00CD6F8E" w:rsidRPr="00643597">
        <w:rPr>
          <w:rFonts w:ascii="Tahoma" w:hAnsi="Tahoma" w:cs="Tahoma"/>
          <w:color w:val="333335"/>
        </w:rPr>
        <w:t xml:space="preserve">In </w:t>
      </w:r>
      <w:r w:rsidR="00314ACF">
        <w:rPr>
          <w:rFonts w:ascii="Tahoma" w:hAnsi="Tahoma" w:cs="Tahoma"/>
          <w:color w:val="333335"/>
        </w:rPr>
        <w:t>these</w:t>
      </w:r>
      <w:r w:rsidR="00CD6F8E" w:rsidRPr="00643597">
        <w:rPr>
          <w:rFonts w:ascii="Tahoma" w:hAnsi="Tahoma" w:cs="Tahoma"/>
          <w:color w:val="333335"/>
        </w:rPr>
        <w:t xml:space="preserve"> circumstances</w:t>
      </w:r>
      <w:r w:rsidR="00643597" w:rsidRPr="00643597">
        <w:rPr>
          <w:rFonts w:ascii="Tahoma" w:hAnsi="Tahoma" w:cs="Tahoma"/>
          <w:color w:val="333335"/>
        </w:rPr>
        <w:t>, the court concluded</w:t>
      </w:r>
      <w:r w:rsidR="00314ACF">
        <w:rPr>
          <w:rFonts w:ascii="Tahoma" w:hAnsi="Tahoma" w:cs="Tahoma"/>
          <w:color w:val="333335"/>
        </w:rPr>
        <w:t xml:space="preserve"> that </w:t>
      </w:r>
      <w:r w:rsidR="00CD6F8E" w:rsidRPr="00643597">
        <w:rPr>
          <w:rFonts w:ascii="Tahoma" w:hAnsi="Tahoma" w:cs="Tahoma"/>
          <w:color w:val="333335"/>
        </w:rPr>
        <w:t xml:space="preserve">this was a case </w:t>
      </w:r>
      <w:r w:rsidR="00314ACF">
        <w:rPr>
          <w:rFonts w:ascii="Tahoma" w:hAnsi="Tahoma" w:cs="Tahoma"/>
          <w:color w:val="333335"/>
        </w:rPr>
        <w:t>in which</w:t>
      </w:r>
      <w:r w:rsidR="00CD6F8E" w:rsidRPr="00643597">
        <w:rPr>
          <w:rFonts w:ascii="Tahoma" w:hAnsi="Tahoma" w:cs="Tahoma"/>
          <w:color w:val="333335"/>
        </w:rPr>
        <w:t xml:space="preserve"> </w:t>
      </w:r>
      <w:r w:rsidR="00314ACF">
        <w:rPr>
          <w:rFonts w:ascii="Tahoma" w:hAnsi="Tahoma" w:cs="Tahoma"/>
          <w:color w:val="333335"/>
        </w:rPr>
        <w:t xml:space="preserve">neither limb of </w:t>
      </w:r>
      <w:r w:rsidR="00CD6F8E" w:rsidRPr="00643597">
        <w:rPr>
          <w:rFonts w:ascii="Tahoma" w:hAnsi="Tahoma" w:cs="Tahoma"/>
          <w:color w:val="333335"/>
        </w:rPr>
        <w:t xml:space="preserve">the </w:t>
      </w:r>
      <w:r w:rsidR="00314ACF">
        <w:rPr>
          <w:rFonts w:ascii="Tahoma" w:hAnsi="Tahoma" w:cs="Tahoma"/>
          <w:color w:val="333335"/>
        </w:rPr>
        <w:t xml:space="preserve">good </w:t>
      </w:r>
      <w:r w:rsidR="00CD6F8E" w:rsidRPr="00643597">
        <w:rPr>
          <w:rFonts w:ascii="Tahoma" w:hAnsi="Tahoma" w:cs="Tahoma"/>
          <w:color w:val="333335"/>
        </w:rPr>
        <w:t xml:space="preserve">character direction </w:t>
      </w:r>
      <w:r w:rsidR="00314ACF">
        <w:rPr>
          <w:rFonts w:ascii="Tahoma" w:hAnsi="Tahoma" w:cs="Tahoma"/>
          <w:color w:val="333335"/>
        </w:rPr>
        <w:t xml:space="preserve">was </w:t>
      </w:r>
      <w:r w:rsidR="00CD6F8E" w:rsidRPr="00643597">
        <w:rPr>
          <w:rFonts w:ascii="Tahoma" w:hAnsi="Tahoma" w:cs="Tahoma"/>
          <w:color w:val="333335"/>
        </w:rPr>
        <w:t xml:space="preserve">appropriate and the </w:t>
      </w:r>
      <w:r w:rsidR="00314ACF">
        <w:rPr>
          <w:rFonts w:ascii="Tahoma" w:hAnsi="Tahoma" w:cs="Tahoma"/>
          <w:color w:val="333335"/>
        </w:rPr>
        <w:t>appeal accordingly failed</w:t>
      </w:r>
      <w:r w:rsidR="00CD6F8E" w:rsidRPr="00643597">
        <w:rPr>
          <w:rFonts w:ascii="Tahoma" w:hAnsi="Tahoma" w:cs="Tahoma"/>
          <w:color w:val="333335"/>
        </w:rPr>
        <w:t>.</w:t>
      </w:r>
    </w:p>
    <w:p w:rsidR="006D2BA4" w:rsidRDefault="006D2BA4" w:rsidP="006D2BA4">
      <w:pPr>
        <w:pStyle w:val="NormalWeb"/>
        <w:spacing w:before="0" w:beforeAutospacing="0" w:after="0" w:afterAutospacing="0"/>
        <w:jc w:val="both"/>
        <w:textAlignment w:val="baseline"/>
        <w:rPr>
          <w:rFonts w:ascii="Tahoma" w:hAnsi="Tahoma" w:cs="Tahoma"/>
          <w:color w:val="333335"/>
        </w:rPr>
      </w:pPr>
    </w:p>
    <w:p w:rsidR="005460E3" w:rsidRDefault="0094522F" w:rsidP="00643597">
      <w:pPr>
        <w:pStyle w:val="NormalWeb"/>
        <w:spacing w:before="0" w:beforeAutospacing="0" w:after="0" w:afterAutospacing="0" w:line="480" w:lineRule="auto"/>
        <w:jc w:val="both"/>
        <w:textAlignment w:val="baseline"/>
        <w:rPr>
          <w:rFonts w:ascii="Tahoma" w:hAnsi="Tahoma" w:cs="Tahoma"/>
          <w:color w:val="333335"/>
        </w:rPr>
      </w:pPr>
      <w:r>
        <w:rPr>
          <w:rFonts w:ascii="Tahoma" w:hAnsi="Tahoma" w:cs="Tahoma"/>
          <w:color w:val="333335"/>
        </w:rPr>
        <w:t>42</w:t>
      </w:r>
      <w:r w:rsidR="005460E3">
        <w:rPr>
          <w:rFonts w:ascii="Tahoma" w:hAnsi="Tahoma" w:cs="Tahoma"/>
          <w:color w:val="333335"/>
        </w:rPr>
        <w:t xml:space="preserve">.   To </w:t>
      </w:r>
      <w:proofErr w:type="spellStart"/>
      <w:r w:rsidR="005460E3">
        <w:rPr>
          <w:rFonts w:ascii="Tahoma" w:hAnsi="Tahoma" w:cs="Tahoma"/>
          <w:color w:val="333335"/>
        </w:rPr>
        <w:t>summarise</w:t>
      </w:r>
      <w:proofErr w:type="spellEnd"/>
      <w:r w:rsidR="005460E3">
        <w:rPr>
          <w:rFonts w:ascii="Tahoma" w:hAnsi="Tahoma" w:cs="Tahoma"/>
          <w:color w:val="333335"/>
        </w:rPr>
        <w:t>:</w:t>
      </w:r>
    </w:p>
    <w:p w:rsidR="006D2BA4" w:rsidRDefault="006D2BA4" w:rsidP="006D2BA4">
      <w:pPr>
        <w:pStyle w:val="NormalWeb"/>
        <w:spacing w:before="0" w:beforeAutospacing="0" w:after="0" w:afterAutospacing="0"/>
        <w:jc w:val="both"/>
        <w:textAlignment w:val="baseline"/>
        <w:rPr>
          <w:rFonts w:ascii="Tahoma" w:hAnsi="Tahoma" w:cs="Tahoma"/>
          <w:color w:val="333335"/>
        </w:rPr>
      </w:pPr>
    </w:p>
    <w:p w:rsidR="00475CAC" w:rsidRDefault="005460E3" w:rsidP="00EA6FDD">
      <w:pPr>
        <w:pStyle w:val="NormalWeb"/>
        <w:spacing w:before="0" w:beforeAutospacing="0" w:after="0" w:afterAutospacing="0" w:line="480" w:lineRule="auto"/>
        <w:ind w:left="720" w:right="720"/>
        <w:jc w:val="both"/>
        <w:textAlignment w:val="baseline"/>
        <w:rPr>
          <w:rFonts w:ascii="Tahoma" w:hAnsi="Tahoma" w:cs="Tahoma"/>
          <w:color w:val="333335"/>
        </w:rPr>
      </w:pPr>
      <w:r>
        <w:rPr>
          <w:rFonts w:ascii="Tahoma" w:hAnsi="Tahoma" w:cs="Tahoma"/>
          <w:color w:val="333335"/>
        </w:rPr>
        <w:t>(</w:t>
      </w:r>
      <w:r w:rsidR="00475CAC">
        <w:rPr>
          <w:rFonts w:ascii="Tahoma" w:hAnsi="Tahoma" w:cs="Tahoma"/>
          <w:color w:val="333335"/>
        </w:rPr>
        <w:t>1</w:t>
      </w:r>
      <w:r>
        <w:rPr>
          <w:rFonts w:ascii="Tahoma" w:hAnsi="Tahoma" w:cs="Tahoma"/>
          <w:color w:val="333335"/>
        </w:rPr>
        <w:t xml:space="preserve">) </w:t>
      </w:r>
      <w:r w:rsidR="00475CAC">
        <w:rPr>
          <w:rFonts w:ascii="Tahoma" w:hAnsi="Tahoma" w:cs="Tahoma"/>
          <w:color w:val="333335"/>
        </w:rPr>
        <w:t>A</w:t>
      </w:r>
      <w:r>
        <w:rPr>
          <w:rFonts w:ascii="Tahoma" w:hAnsi="Tahoma" w:cs="Tahoma"/>
          <w:color w:val="333335"/>
        </w:rPr>
        <w:t xml:space="preserve"> defendant who is of good character is prima facie entitled to a standard good character direction</w:t>
      </w:r>
      <w:r w:rsidR="00475CAC">
        <w:rPr>
          <w:rFonts w:ascii="Tahoma" w:hAnsi="Tahoma" w:cs="Tahoma"/>
          <w:color w:val="333335"/>
        </w:rPr>
        <w:t xml:space="preserve"> from the trial judge</w:t>
      </w:r>
      <w:r>
        <w:rPr>
          <w:rFonts w:ascii="Tahoma" w:hAnsi="Tahoma" w:cs="Tahoma"/>
          <w:color w:val="333335"/>
        </w:rPr>
        <w:t>; that is,</w:t>
      </w:r>
      <w:r w:rsidR="00475CAC">
        <w:rPr>
          <w:rFonts w:ascii="Tahoma" w:hAnsi="Tahoma" w:cs="Tahoma"/>
          <w:color w:val="333335"/>
        </w:rPr>
        <w:t xml:space="preserve"> </w:t>
      </w:r>
      <w:r>
        <w:rPr>
          <w:rFonts w:ascii="Tahoma" w:hAnsi="Tahoma" w:cs="Tahoma"/>
          <w:color w:val="333335"/>
        </w:rPr>
        <w:t xml:space="preserve">a direction </w:t>
      </w:r>
      <w:r w:rsidR="00475CAC">
        <w:rPr>
          <w:rFonts w:ascii="Tahoma" w:hAnsi="Tahoma" w:cs="Tahoma"/>
          <w:color w:val="333335"/>
        </w:rPr>
        <w:t>as to the relevance of his good character to (</w:t>
      </w:r>
      <w:proofErr w:type="spellStart"/>
      <w:r w:rsidR="00475CAC">
        <w:rPr>
          <w:rFonts w:ascii="Tahoma" w:hAnsi="Tahoma" w:cs="Tahoma"/>
          <w:color w:val="333335"/>
        </w:rPr>
        <w:t>i</w:t>
      </w:r>
      <w:proofErr w:type="spellEnd"/>
      <w:r w:rsidR="00475CAC">
        <w:rPr>
          <w:rFonts w:ascii="Tahoma" w:hAnsi="Tahoma" w:cs="Tahoma"/>
          <w:color w:val="333335"/>
        </w:rPr>
        <w:t xml:space="preserve">) his propensity to commit </w:t>
      </w:r>
      <w:r w:rsidR="00475CAC">
        <w:rPr>
          <w:rFonts w:ascii="Tahoma" w:hAnsi="Tahoma" w:cs="Tahoma"/>
          <w:color w:val="333335"/>
        </w:rPr>
        <w:lastRenderedPageBreak/>
        <w:t>the offence for which he is charged; and (ii) his credibility; however, the judge does have a residual discretion as to whether to give the direction in a particular case in the light of the other evidence on the case.</w:t>
      </w:r>
    </w:p>
    <w:p w:rsidR="00475CAC" w:rsidRDefault="00475CAC" w:rsidP="00EA6FDD">
      <w:pPr>
        <w:pStyle w:val="NormalWeb"/>
        <w:spacing w:before="0" w:beforeAutospacing="0" w:after="0" w:afterAutospacing="0" w:line="480" w:lineRule="auto"/>
        <w:ind w:left="720" w:right="720"/>
        <w:jc w:val="both"/>
        <w:textAlignment w:val="baseline"/>
        <w:rPr>
          <w:rFonts w:ascii="Tahoma" w:hAnsi="Tahoma" w:cs="Tahoma"/>
          <w:color w:val="333335"/>
        </w:rPr>
      </w:pPr>
      <w:r>
        <w:rPr>
          <w:rFonts w:ascii="Tahoma" w:hAnsi="Tahoma" w:cs="Tahoma"/>
          <w:color w:val="333335"/>
        </w:rPr>
        <w:t>(2) The obligation to bring forward the defendant’s character as an issue is that of counsel and not the judge and an appeal may be allowed in an appropriate case on the ground of counsel’s failure to do so.</w:t>
      </w:r>
    </w:p>
    <w:p w:rsidR="005460E3" w:rsidRDefault="00475CAC" w:rsidP="00EA6FDD">
      <w:pPr>
        <w:pStyle w:val="NormalWeb"/>
        <w:spacing w:before="0" w:beforeAutospacing="0" w:after="0" w:afterAutospacing="0" w:line="480" w:lineRule="auto"/>
        <w:ind w:left="720" w:right="720"/>
        <w:jc w:val="both"/>
        <w:textAlignment w:val="baseline"/>
        <w:rPr>
          <w:rFonts w:ascii="Tahoma" w:hAnsi="Tahoma" w:cs="Tahoma"/>
          <w:color w:val="333335"/>
        </w:rPr>
      </w:pPr>
      <w:r>
        <w:rPr>
          <w:rFonts w:ascii="Tahoma" w:hAnsi="Tahoma" w:cs="Tahoma"/>
          <w:color w:val="333335"/>
        </w:rPr>
        <w:t xml:space="preserve">(3) Failure to obtain or give a good character direction in appropriate cases is not necessarily fatal to a conviction and </w:t>
      </w:r>
      <w:r w:rsidR="00EA6FDD">
        <w:rPr>
          <w:rFonts w:ascii="Tahoma" w:hAnsi="Tahoma" w:cs="Tahoma"/>
          <w:color w:val="333335"/>
        </w:rPr>
        <w:t>the C</w:t>
      </w:r>
      <w:r>
        <w:rPr>
          <w:rFonts w:ascii="Tahoma" w:hAnsi="Tahoma" w:cs="Tahoma"/>
          <w:color w:val="333335"/>
        </w:rPr>
        <w:t xml:space="preserve">ourt of </w:t>
      </w:r>
      <w:r w:rsidR="00EA6FDD">
        <w:rPr>
          <w:rFonts w:ascii="Tahoma" w:hAnsi="Tahoma" w:cs="Tahoma"/>
          <w:color w:val="333335"/>
        </w:rPr>
        <w:t>A</w:t>
      </w:r>
      <w:r>
        <w:rPr>
          <w:rFonts w:ascii="Tahoma" w:hAnsi="Tahoma" w:cs="Tahoma"/>
          <w:color w:val="333335"/>
        </w:rPr>
        <w:t xml:space="preserve">ppeal will have regard to the issues and other evidence in the case in order to assess the impact of the failure on the safety of the defendant’s conviction. </w:t>
      </w:r>
    </w:p>
    <w:p w:rsidR="006D2BA4" w:rsidRDefault="006D2BA4" w:rsidP="006D2BA4">
      <w:pPr>
        <w:pStyle w:val="NormalWeb"/>
        <w:spacing w:before="0" w:beforeAutospacing="0" w:after="0" w:afterAutospacing="0"/>
        <w:jc w:val="both"/>
        <w:textAlignment w:val="baseline"/>
        <w:rPr>
          <w:rFonts w:ascii="Tahoma" w:hAnsi="Tahoma" w:cs="Tahoma"/>
          <w:b/>
          <w:color w:val="333335"/>
        </w:rPr>
      </w:pPr>
    </w:p>
    <w:p w:rsidR="005460E3" w:rsidRPr="005460E3" w:rsidRDefault="005460E3" w:rsidP="00643597">
      <w:pPr>
        <w:pStyle w:val="NormalWeb"/>
        <w:spacing w:before="0" w:beforeAutospacing="0" w:after="0" w:afterAutospacing="0" w:line="480" w:lineRule="auto"/>
        <w:jc w:val="both"/>
        <w:textAlignment w:val="baseline"/>
        <w:rPr>
          <w:rFonts w:ascii="Tahoma" w:hAnsi="Tahoma" w:cs="Tahoma"/>
          <w:b/>
          <w:color w:val="333335"/>
        </w:rPr>
      </w:pPr>
      <w:r w:rsidRPr="005460E3">
        <w:rPr>
          <w:rFonts w:ascii="Tahoma" w:hAnsi="Tahoma" w:cs="Tahoma"/>
          <w:b/>
          <w:color w:val="333335"/>
        </w:rPr>
        <w:t xml:space="preserve">The </w:t>
      </w:r>
      <w:proofErr w:type="spellStart"/>
      <w:r w:rsidRPr="00EF618D">
        <w:rPr>
          <w:rFonts w:ascii="Tahoma" w:hAnsi="Tahoma" w:cs="Tahoma"/>
          <w:b/>
          <w:i/>
          <w:color w:val="333335"/>
        </w:rPr>
        <w:t>Mushtaq</w:t>
      </w:r>
      <w:proofErr w:type="spellEnd"/>
      <w:r w:rsidRPr="00EF618D">
        <w:rPr>
          <w:rFonts w:ascii="Tahoma" w:hAnsi="Tahoma" w:cs="Tahoma"/>
          <w:b/>
          <w:i/>
          <w:color w:val="333335"/>
        </w:rPr>
        <w:t xml:space="preserve"> </w:t>
      </w:r>
      <w:r w:rsidRPr="005460E3">
        <w:rPr>
          <w:rFonts w:ascii="Tahoma" w:hAnsi="Tahoma" w:cs="Tahoma"/>
          <w:b/>
          <w:color w:val="333335"/>
        </w:rPr>
        <w:t>direction</w:t>
      </w:r>
    </w:p>
    <w:p w:rsidR="002F48AB" w:rsidRDefault="00EA6FDD" w:rsidP="00EF618D">
      <w:pPr>
        <w:spacing w:after="100" w:line="480" w:lineRule="auto"/>
        <w:jc w:val="both"/>
        <w:rPr>
          <w:rFonts w:ascii="Tahoma" w:eastAsia="Times New Roman" w:hAnsi="Tahoma" w:cs="Tahoma"/>
          <w:color w:val="000000"/>
          <w:sz w:val="24"/>
          <w:szCs w:val="24"/>
          <w:lang w:val="en-JM" w:eastAsia="en-JM"/>
        </w:rPr>
      </w:pPr>
      <w:r w:rsidRPr="00EF618D">
        <w:rPr>
          <w:rFonts w:ascii="Tahoma" w:eastAsia="Times New Roman" w:hAnsi="Tahoma" w:cs="Tahoma"/>
          <w:color w:val="000000"/>
          <w:sz w:val="24"/>
          <w:szCs w:val="24"/>
          <w:lang w:val="en-JM" w:eastAsia="en-JM"/>
        </w:rPr>
        <w:t>4</w:t>
      </w:r>
      <w:r w:rsidR="0094522F">
        <w:rPr>
          <w:rFonts w:ascii="Tahoma" w:eastAsia="Times New Roman" w:hAnsi="Tahoma" w:cs="Tahoma"/>
          <w:color w:val="000000"/>
          <w:sz w:val="24"/>
          <w:szCs w:val="24"/>
          <w:lang w:val="en-JM" w:eastAsia="en-JM"/>
        </w:rPr>
        <w:t>3</w:t>
      </w:r>
      <w:r w:rsidRPr="00EF618D">
        <w:rPr>
          <w:rFonts w:ascii="Tahoma" w:eastAsia="Times New Roman" w:hAnsi="Tahoma" w:cs="Tahoma"/>
          <w:color w:val="000000"/>
          <w:sz w:val="24"/>
          <w:szCs w:val="24"/>
          <w:lang w:val="en-JM" w:eastAsia="en-JM"/>
        </w:rPr>
        <w:t xml:space="preserve">.   </w:t>
      </w:r>
      <w:r w:rsidR="00CD6F8E" w:rsidRPr="00EF618D">
        <w:rPr>
          <w:rFonts w:ascii="Tahoma" w:eastAsia="Times New Roman" w:hAnsi="Tahoma" w:cs="Tahoma"/>
          <w:color w:val="000000"/>
          <w:sz w:val="24"/>
          <w:szCs w:val="24"/>
          <w:lang w:val="en-JM" w:eastAsia="en-JM"/>
        </w:rPr>
        <w:t xml:space="preserve"> </w:t>
      </w:r>
      <w:r w:rsidR="00EF618D" w:rsidRPr="00EF618D">
        <w:rPr>
          <w:rFonts w:ascii="Tahoma" w:eastAsia="Times New Roman" w:hAnsi="Tahoma" w:cs="Tahoma"/>
          <w:color w:val="000000"/>
          <w:sz w:val="24"/>
          <w:szCs w:val="24"/>
          <w:lang w:val="en-JM" w:eastAsia="en-JM"/>
        </w:rPr>
        <w:t xml:space="preserve">One of the oldest rules of the common law is that </w:t>
      </w:r>
      <w:r w:rsidR="000A41AA">
        <w:rPr>
          <w:rFonts w:ascii="Tahoma" w:eastAsia="Times New Roman" w:hAnsi="Tahoma" w:cs="Tahoma"/>
          <w:color w:val="000000"/>
          <w:sz w:val="24"/>
          <w:szCs w:val="24"/>
          <w:lang w:val="en-JM" w:eastAsia="en-JM"/>
        </w:rPr>
        <w:t xml:space="preserve">evidence of </w:t>
      </w:r>
      <w:r w:rsidR="00EF618D" w:rsidRPr="00EF618D">
        <w:rPr>
          <w:rFonts w:ascii="Tahoma" w:eastAsia="Times New Roman" w:hAnsi="Tahoma" w:cs="Tahoma"/>
          <w:color w:val="000000"/>
          <w:sz w:val="24"/>
          <w:szCs w:val="24"/>
          <w:lang w:val="en-JM" w:eastAsia="en-JM"/>
        </w:rPr>
        <w:t xml:space="preserve">a confession </w:t>
      </w:r>
      <w:r w:rsidR="00EF618D">
        <w:rPr>
          <w:rFonts w:ascii="Tahoma" w:eastAsia="Times New Roman" w:hAnsi="Tahoma" w:cs="Tahoma"/>
          <w:color w:val="000000"/>
          <w:sz w:val="24"/>
          <w:szCs w:val="24"/>
          <w:lang w:val="en-JM" w:eastAsia="en-JM"/>
        </w:rPr>
        <w:t xml:space="preserve">allegedly made by the defendant </w:t>
      </w:r>
      <w:r w:rsidR="00EF618D" w:rsidRPr="00EF618D">
        <w:rPr>
          <w:rFonts w:ascii="Tahoma" w:eastAsia="Times New Roman" w:hAnsi="Tahoma" w:cs="Tahoma"/>
          <w:color w:val="000000"/>
          <w:sz w:val="24"/>
          <w:szCs w:val="24"/>
          <w:lang w:val="en-JM" w:eastAsia="en-JM"/>
        </w:rPr>
        <w:t>cannot be given by the prosecution unless it is shown by them to have been voluntarily made</w:t>
      </w:r>
      <w:r w:rsidR="00EF618D">
        <w:rPr>
          <w:rFonts w:ascii="Tahoma" w:eastAsia="Times New Roman" w:hAnsi="Tahoma" w:cs="Tahoma"/>
          <w:color w:val="000000"/>
          <w:sz w:val="24"/>
          <w:szCs w:val="24"/>
          <w:lang w:val="en-JM" w:eastAsia="en-JM"/>
        </w:rPr>
        <w:t xml:space="preserve">, in </w:t>
      </w:r>
      <w:r w:rsidR="00EF618D" w:rsidRPr="00EF618D">
        <w:rPr>
          <w:rFonts w:ascii="Tahoma" w:eastAsia="Times New Roman" w:hAnsi="Tahoma" w:cs="Tahoma"/>
          <w:color w:val="000000"/>
          <w:sz w:val="24"/>
          <w:szCs w:val="24"/>
          <w:lang w:val="en-JM" w:eastAsia="en-JM"/>
        </w:rPr>
        <w:t>t</w:t>
      </w:r>
      <w:r w:rsidR="00E11114">
        <w:rPr>
          <w:rFonts w:ascii="Tahoma" w:eastAsia="Times New Roman" w:hAnsi="Tahoma" w:cs="Tahoma"/>
          <w:color w:val="000000"/>
          <w:sz w:val="24"/>
          <w:szCs w:val="24"/>
          <w:lang w:val="en-JM" w:eastAsia="en-JM"/>
        </w:rPr>
        <w:t>he sense that it was not</w:t>
      </w:r>
      <w:r w:rsidR="00EF618D" w:rsidRPr="00EF618D">
        <w:rPr>
          <w:rFonts w:ascii="Tahoma" w:eastAsia="Times New Roman" w:hAnsi="Tahoma" w:cs="Tahoma"/>
          <w:color w:val="000000"/>
          <w:sz w:val="24"/>
          <w:szCs w:val="24"/>
          <w:lang w:val="en-JM" w:eastAsia="en-JM"/>
        </w:rPr>
        <w:t xml:space="preserve"> obtained from the defendant by fear of prejudice or </w:t>
      </w:r>
      <w:r w:rsidR="00EF618D">
        <w:rPr>
          <w:rFonts w:ascii="Tahoma" w:eastAsia="Times New Roman" w:hAnsi="Tahoma" w:cs="Tahoma"/>
          <w:color w:val="000000"/>
          <w:sz w:val="24"/>
          <w:szCs w:val="24"/>
          <w:lang w:val="en-JM" w:eastAsia="en-JM"/>
        </w:rPr>
        <w:t>hope</w:t>
      </w:r>
      <w:r w:rsidR="00EF618D" w:rsidRPr="00EF618D">
        <w:rPr>
          <w:rFonts w:ascii="Tahoma" w:eastAsia="Times New Roman" w:hAnsi="Tahoma" w:cs="Tahoma"/>
          <w:color w:val="000000"/>
          <w:sz w:val="24"/>
          <w:szCs w:val="24"/>
          <w:lang w:val="en-JM" w:eastAsia="en-JM"/>
        </w:rPr>
        <w:t xml:space="preserve"> of advantage exercised or held out by a person in authority, or by oppression</w:t>
      </w:r>
      <w:r w:rsidR="00EF618D">
        <w:rPr>
          <w:rStyle w:val="FootnoteReference"/>
          <w:rFonts w:ascii="Tahoma" w:eastAsia="Times New Roman" w:hAnsi="Tahoma" w:cs="Tahoma"/>
          <w:color w:val="000000"/>
          <w:sz w:val="24"/>
          <w:szCs w:val="24"/>
          <w:lang w:val="en-JM" w:eastAsia="en-JM"/>
        </w:rPr>
        <w:footnoteReference w:id="77"/>
      </w:r>
      <w:r w:rsidR="00EF618D" w:rsidRPr="00EF618D">
        <w:rPr>
          <w:rFonts w:ascii="Tahoma" w:eastAsia="Times New Roman" w:hAnsi="Tahoma" w:cs="Tahoma"/>
          <w:color w:val="000000"/>
          <w:sz w:val="24"/>
          <w:szCs w:val="24"/>
          <w:lang w:val="en-JM" w:eastAsia="en-JM"/>
        </w:rPr>
        <w:t>.</w:t>
      </w:r>
      <w:r w:rsidR="003924C9">
        <w:rPr>
          <w:rFonts w:ascii="Tahoma" w:eastAsia="Times New Roman" w:hAnsi="Tahoma" w:cs="Tahoma"/>
          <w:color w:val="000000"/>
          <w:sz w:val="24"/>
          <w:szCs w:val="24"/>
          <w:lang w:val="en-JM" w:eastAsia="en-JM"/>
        </w:rPr>
        <w:t xml:space="preserve"> Equally well-known is the rule that,</w:t>
      </w:r>
      <w:r w:rsidR="003924C9" w:rsidRPr="003924C9">
        <w:rPr>
          <w:rFonts w:ascii="Tahoma" w:eastAsia="Times New Roman" w:hAnsi="Tahoma" w:cs="Tahoma"/>
          <w:color w:val="000000"/>
          <w:sz w:val="24"/>
          <w:szCs w:val="24"/>
          <w:lang w:val="en-JM" w:eastAsia="en-JM"/>
        </w:rPr>
        <w:t xml:space="preserve"> </w:t>
      </w:r>
      <w:r w:rsidR="003924C9">
        <w:rPr>
          <w:rFonts w:ascii="Tahoma" w:eastAsia="Times New Roman" w:hAnsi="Tahoma" w:cs="Tahoma"/>
          <w:color w:val="000000"/>
          <w:sz w:val="24"/>
          <w:szCs w:val="24"/>
          <w:lang w:val="en-JM" w:eastAsia="en-JM"/>
        </w:rPr>
        <w:t xml:space="preserve">when objection is taken by the defence, the issue of voluntariness is an issue to be resolved by the judge on a </w:t>
      </w:r>
      <w:r w:rsidR="003924C9" w:rsidRPr="003924C9">
        <w:rPr>
          <w:rFonts w:ascii="Tahoma" w:eastAsia="Times New Roman" w:hAnsi="Tahoma" w:cs="Tahoma"/>
          <w:i/>
          <w:color w:val="000000"/>
          <w:sz w:val="24"/>
          <w:szCs w:val="24"/>
          <w:lang w:val="en-JM" w:eastAsia="en-JM"/>
        </w:rPr>
        <w:t>voir dire</w:t>
      </w:r>
      <w:r w:rsidR="003924C9">
        <w:rPr>
          <w:rFonts w:ascii="Tahoma" w:eastAsia="Times New Roman" w:hAnsi="Tahoma" w:cs="Tahoma"/>
          <w:color w:val="000000"/>
          <w:sz w:val="24"/>
          <w:szCs w:val="24"/>
          <w:lang w:val="en-JM" w:eastAsia="en-JM"/>
        </w:rPr>
        <w:t xml:space="preserve"> in the absence of the jury. In that proceeding, it is for the prosecution to prove beyond reasonable doubt that the statement relied on as a confession was voluntarily made. </w:t>
      </w:r>
      <w:r w:rsidR="00E11114">
        <w:rPr>
          <w:rFonts w:ascii="Tahoma" w:eastAsia="Times New Roman" w:hAnsi="Tahoma" w:cs="Tahoma"/>
          <w:color w:val="000000"/>
          <w:sz w:val="24"/>
          <w:szCs w:val="24"/>
          <w:lang w:val="en-JM" w:eastAsia="en-JM"/>
        </w:rPr>
        <w:t>If a</w:t>
      </w:r>
      <w:r w:rsidR="003924C9">
        <w:rPr>
          <w:rFonts w:ascii="Tahoma" w:eastAsia="Times New Roman" w:hAnsi="Tahoma" w:cs="Tahoma"/>
          <w:color w:val="000000"/>
          <w:sz w:val="24"/>
          <w:szCs w:val="24"/>
          <w:lang w:val="en-JM" w:eastAsia="en-JM"/>
        </w:rPr>
        <w:t xml:space="preserve">t the end of the </w:t>
      </w:r>
      <w:r w:rsidR="003924C9" w:rsidRPr="00E11114">
        <w:rPr>
          <w:rFonts w:ascii="Tahoma" w:eastAsia="Times New Roman" w:hAnsi="Tahoma" w:cs="Tahoma"/>
          <w:i/>
          <w:color w:val="000000"/>
          <w:sz w:val="24"/>
          <w:szCs w:val="24"/>
          <w:lang w:val="en-JM" w:eastAsia="en-JM"/>
        </w:rPr>
        <w:t>voir dire</w:t>
      </w:r>
      <w:r w:rsidR="003924C9">
        <w:rPr>
          <w:rFonts w:ascii="Tahoma" w:eastAsia="Times New Roman" w:hAnsi="Tahoma" w:cs="Tahoma"/>
          <w:color w:val="000000"/>
          <w:sz w:val="24"/>
          <w:szCs w:val="24"/>
          <w:lang w:val="en-JM" w:eastAsia="en-JM"/>
        </w:rPr>
        <w:t xml:space="preserve">, the judge, having heard evidence called </w:t>
      </w:r>
      <w:r w:rsidR="003924C9">
        <w:rPr>
          <w:rFonts w:ascii="Tahoma" w:eastAsia="Times New Roman" w:hAnsi="Tahoma" w:cs="Tahoma"/>
          <w:color w:val="000000"/>
          <w:sz w:val="24"/>
          <w:szCs w:val="24"/>
          <w:lang w:val="en-JM" w:eastAsia="en-JM"/>
        </w:rPr>
        <w:lastRenderedPageBreak/>
        <w:t xml:space="preserve">on both sides, </w:t>
      </w:r>
      <w:r w:rsidR="00E11114">
        <w:rPr>
          <w:rFonts w:ascii="Tahoma" w:eastAsia="Times New Roman" w:hAnsi="Tahoma" w:cs="Tahoma"/>
          <w:color w:val="000000"/>
          <w:sz w:val="24"/>
          <w:szCs w:val="24"/>
          <w:lang w:val="en-JM" w:eastAsia="en-JM"/>
        </w:rPr>
        <w:t xml:space="preserve">is not satisfied </w:t>
      </w:r>
      <w:r w:rsidR="003924C9">
        <w:rPr>
          <w:rFonts w:ascii="Tahoma" w:eastAsia="Times New Roman" w:hAnsi="Tahoma" w:cs="Tahoma"/>
          <w:color w:val="000000"/>
          <w:sz w:val="24"/>
          <w:szCs w:val="24"/>
          <w:lang w:val="en-JM" w:eastAsia="en-JM"/>
        </w:rPr>
        <w:t>that the statement was voluntarily made, he or she will refuse to admit it in evidence. If, on the other hand, the judge is satisfied to the requisite standard that the statement was voluntarily made, it will be admitted in evidence and in due course read out to the jury</w:t>
      </w:r>
      <w:r w:rsidR="002F48AB">
        <w:rPr>
          <w:rStyle w:val="FootnoteReference"/>
          <w:rFonts w:ascii="Tahoma" w:eastAsia="Times New Roman" w:hAnsi="Tahoma" w:cs="Tahoma"/>
          <w:color w:val="000000"/>
          <w:sz w:val="24"/>
          <w:szCs w:val="24"/>
          <w:lang w:val="en-JM" w:eastAsia="en-JM"/>
        </w:rPr>
        <w:footnoteReference w:id="78"/>
      </w:r>
      <w:r w:rsidR="003924C9">
        <w:rPr>
          <w:rFonts w:ascii="Tahoma" w:eastAsia="Times New Roman" w:hAnsi="Tahoma" w:cs="Tahoma"/>
          <w:color w:val="000000"/>
          <w:sz w:val="24"/>
          <w:szCs w:val="24"/>
          <w:lang w:val="en-JM" w:eastAsia="en-JM"/>
        </w:rPr>
        <w:t>.</w:t>
      </w:r>
      <w:r w:rsidR="0049319A">
        <w:rPr>
          <w:rFonts w:ascii="Tahoma" w:eastAsia="Times New Roman" w:hAnsi="Tahoma" w:cs="Tahoma"/>
          <w:color w:val="000000"/>
          <w:sz w:val="24"/>
          <w:szCs w:val="24"/>
          <w:lang w:val="en-JM" w:eastAsia="en-JM"/>
        </w:rPr>
        <w:t xml:space="preserve"> </w:t>
      </w:r>
    </w:p>
    <w:p w:rsidR="002F48AB" w:rsidRDefault="002F48AB" w:rsidP="0094522F">
      <w:pPr>
        <w:spacing w:after="0" w:line="240" w:lineRule="auto"/>
        <w:jc w:val="both"/>
        <w:rPr>
          <w:rFonts w:ascii="Tahoma" w:eastAsia="Times New Roman" w:hAnsi="Tahoma" w:cs="Tahoma"/>
          <w:color w:val="000000"/>
          <w:sz w:val="24"/>
          <w:szCs w:val="24"/>
          <w:lang w:val="en-JM" w:eastAsia="en-JM"/>
        </w:rPr>
      </w:pPr>
    </w:p>
    <w:p w:rsidR="009E6A09" w:rsidRDefault="0049319A" w:rsidP="00EF618D">
      <w:pPr>
        <w:spacing w:after="100" w:line="480" w:lineRule="auto"/>
        <w:jc w:val="both"/>
        <w:rPr>
          <w:rFonts w:ascii="Tahoma" w:eastAsia="Times New Roman" w:hAnsi="Tahoma" w:cs="Tahoma"/>
          <w:color w:val="000000"/>
          <w:sz w:val="24"/>
          <w:szCs w:val="24"/>
          <w:lang w:val="en-JM" w:eastAsia="en-JM"/>
        </w:rPr>
      </w:pPr>
      <w:r>
        <w:rPr>
          <w:rFonts w:ascii="Tahoma" w:eastAsia="Times New Roman" w:hAnsi="Tahoma" w:cs="Tahoma"/>
          <w:color w:val="000000"/>
          <w:sz w:val="24"/>
          <w:szCs w:val="24"/>
          <w:lang w:val="en-JM" w:eastAsia="en-JM"/>
        </w:rPr>
        <w:t>4</w:t>
      </w:r>
      <w:r w:rsidR="0094522F">
        <w:rPr>
          <w:rFonts w:ascii="Tahoma" w:eastAsia="Times New Roman" w:hAnsi="Tahoma" w:cs="Tahoma"/>
          <w:color w:val="000000"/>
          <w:sz w:val="24"/>
          <w:szCs w:val="24"/>
          <w:lang w:val="en-JM" w:eastAsia="en-JM"/>
        </w:rPr>
        <w:t>4</w:t>
      </w:r>
      <w:r>
        <w:rPr>
          <w:rFonts w:ascii="Tahoma" w:eastAsia="Times New Roman" w:hAnsi="Tahoma" w:cs="Tahoma"/>
          <w:color w:val="000000"/>
          <w:sz w:val="24"/>
          <w:szCs w:val="24"/>
          <w:lang w:val="en-JM" w:eastAsia="en-JM"/>
        </w:rPr>
        <w:t xml:space="preserve">.   </w:t>
      </w:r>
      <w:r w:rsidR="003E508A">
        <w:rPr>
          <w:rFonts w:ascii="Tahoma" w:eastAsia="Times New Roman" w:hAnsi="Tahoma" w:cs="Tahoma"/>
          <w:color w:val="000000"/>
          <w:sz w:val="24"/>
          <w:szCs w:val="24"/>
          <w:lang w:val="en-JM" w:eastAsia="en-JM"/>
        </w:rPr>
        <w:t xml:space="preserve">If the </w:t>
      </w:r>
      <w:r w:rsidR="0094522F">
        <w:rPr>
          <w:rFonts w:ascii="Tahoma" w:eastAsia="Times New Roman" w:hAnsi="Tahoma" w:cs="Tahoma"/>
          <w:color w:val="000000"/>
          <w:sz w:val="24"/>
          <w:szCs w:val="24"/>
          <w:lang w:val="en-JM" w:eastAsia="en-JM"/>
        </w:rPr>
        <w:t>statement was</w:t>
      </w:r>
      <w:r w:rsidR="003E508A">
        <w:rPr>
          <w:rFonts w:ascii="Tahoma" w:eastAsia="Times New Roman" w:hAnsi="Tahoma" w:cs="Tahoma"/>
          <w:color w:val="000000"/>
          <w:sz w:val="24"/>
          <w:szCs w:val="24"/>
          <w:lang w:val="en-JM" w:eastAsia="en-JM"/>
        </w:rPr>
        <w:t xml:space="preserve"> admitted in evidence</w:t>
      </w:r>
      <w:r w:rsidR="0094522F">
        <w:rPr>
          <w:rFonts w:ascii="Tahoma" w:eastAsia="Times New Roman" w:hAnsi="Tahoma" w:cs="Tahoma"/>
          <w:color w:val="000000"/>
          <w:sz w:val="24"/>
          <w:szCs w:val="24"/>
          <w:lang w:val="en-JM" w:eastAsia="en-JM"/>
        </w:rPr>
        <w:t xml:space="preserve"> by the judge</w:t>
      </w:r>
      <w:r w:rsidR="003E508A">
        <w:rPr>
          <w:rFonts w:ascii="Tahoma" w:eastAsia="Times New Roman" w:hAnsi="Tahoma" w:cs="Tahoma"/>
          <w:color w:val="000000"/>
          <w:sz w:val="24"/>
          <w:szCs w:val="24"/>
          <w:lang w:val="en-JM" w:eastAsia="en-JM"/>
        </w:rPr>
        <w:t xml:space="preserve">, </w:t>
      </w:r>
      <w:r w:rsidR="000A41AA">
        <w:rPr>
          <w:rFonts w:ascii="Tahoma" w:eastAsia="Times New Roman" w:hAnsi="Tahoma" w:cs="Tahoma"/>
          <w:color w:val="000000"/>
          <w:sz w:val="24"/>
          <w:szCs w:val="24"/>
          <w:lang w:val="en-JM" w:eastAsia="en-JM"/>
        </w:rPr>
        <w:t xml:space="preserve">it </w:t>
      </w:r>
      <w:r w:rsidR="009E6A09">
        <w:rPr>
          <w:rFonts w:ascii="Tahoma" w:eastAsia="Times New Roman" w:hAnsi="Tahoma" w:cs="Tahoma"/>
          <w:color w:val="000000"/>
          <w:sz w:val="24"/>
          <w:szCs w:val="24"/>
          <w:lang w:val="en-JM" w:eastAsia="en-JM"/>
        </w:rPr>
        <w:t>was</w:t>
      </w:r>
      <w:r w:rsidR="0094522F">
        <w:rPr>
          <w:rFonts w:ascii="Tahoma" w:eastAsia="Times New Roman" w:hAnsi="Tahoma" w:cs="Tahoma"/>
          <w:color w:val="000000"/>
          <w:sz w:val="24"/>
          <w:szCs w:val="24"/>
          <w:lang w:val="en-JM" w:eastAsia="en-JM"/>
        </w:rPr>
        <w:t xml:space="preserve"> – and remains -</w:t>
      </w:r>
      <w:r w:rsidR="009E6A09">
        <w:rPr>
          <w:rFonts w:ascii="Tahoma" w:eastAsia="Times New Roman" w:hAnsi="Tahoma" w:cs="Tahoma"/>
          <w:color w:val="000000"/>
          <w:sz w:val="24"/>
          <w:szCs w:val="24"/>
          <w:lang w:val="en-JM" w:eastAsia="en-JM"/>
        </w:rPr>
        <w:t xml:space="preserve"> </w:t>
      </w:r>
      <w:r w:rsidR="003E508A">
        <w:rPr>
          <w:rFonts w:ascii="Tahoma" w:eastAsia="Times New Roman" w:hAnsi="Tahoma" w:cs="Tahoma"/>
          <w:color w:val="000000"/>
          <w:sz w:val="24"/>
          <w:szCs w:val="24"/>
          <w:lang w:val="en-JM" w:eastAsia="en-JM"/>
        </w:rPr>
        <w:t xml:space="preserve">the almost invariable practice </w:t>
      </w:r>
      <w:r w:rsidR="000A41AA">
        <w:rPr>
          <w:rFonts w:ascii="Tahoma" w:eastAsia="Times New Roman" w:hAnsi="Tahoma" w:cs="Tahoma"/>
          <w:color w:val="000000"/>
          <w:sz w:val="24"/>
          <w:szCs w:val="24"/>
          <w:lang w:val="en-JM" w:eastAsia="en-JM"/>
        </w:rPr>
        <w:t>for the defence</w:t>
      </w:r>
      <w:r w:rsidR="003E508A">
        <w:rPr>
          <w:rFonts w:ascii="Tahoma" w:eastAsia="Times New Roman" w:hAnsi="Tahoma" w:cs="Tahoma"/>
          <w:color w:val="000000"/>
          <w:sz w:val="24"/>
          <w:szCs w:val="24"/>
          <w:lang w:val="en-JM" w:eastAsia="en-JM"/>
        </w:rPr>
        <w:t xml:space="preserve"> </w:t>
      </w:r>
      <w:r w:rsidR="000A41AA">
        <w:rPr>
          <w:rFonts w:ascii="Tahoma" w:eastAsia="Times New Roman" w:hAnsi="Tahoma" w:cs="Tahoma"/>
          <w:color w:val="000000"/>
          <w:sz w:val="24"/>
          <w:szCs w:val="24"/>
          <w:lang w:val="en-JM" w:eastAsia="en-JM"/>
        </w:rPr>
        <w:t>to retrace</w:t>
      </w:r>
      <w:r w:rsidR="003E508A">
        <w:rPr>
          <w:rFonts w:ascii="Tahoma" w:eastAsia="Times New Roman" w:hAnsi="Tahoma" w:cs="Tahoma"/>
          <w:color w:val="000000"/>
          <w:sz w:val="24"/>
          <w:szCs w:val="24"/>
          <w:lang w:val="en-JM" w:eastAsia="en-JM"/>
        </w:rPr>
        <w:t>,</w:t>
      </w:r>
      <w:r w:rsidR="000A41AA">
        <w:rPr>
          <w:rFonts w:ascii="Tahoma" w:eastAsia="Times New Roman" w:hAnsi="Tahoma" w:cs="Tahoma"/>
          <w:color w:val="000000"/>
          <w:sz w:val="24"/>
          <w:szCs w:val="24"/>
          <w:lang w:val="en-JM" w:eastAsia="en-JM"/>
        </w:rPr>
        <w:t xml:space="preserve"> </w:t>
      </w:r>
      <w:r w:rsidR="003E508A">
        <w:rPr>
          <w:rFonts w:ascii="Tahoma" w:eastAsia="Times New Roman" w:hAnsi="Tahoma" w:cs="Tahoma"/>
          <w:color w:val="000000"/>
          <w:sz w:val="24"/>
          <w:szCs w:val="24"/>
          <w:lang w:val="en-JM" w:eastAsia="en-JM"/>
        </w:rPr>
        <w:t xml:space="preserve">in the presence of the jury at the resumed trial, </w:t>
      </w:r>
      <w:r w:rsidR="000A41AA">
        <w:rPr>
          <w:rFonts w:ascii="Tahoma" w:eastAsia="Times New Roman" w:hAnsi="Tahoma" w:cs="Tahoma"/>
          <w:color w:val="000000"/>
          <w:sz w:val="24"/>
          <w:szCs w:val="24"/>
          <w:lang w:val="en-JM" w:eastAsia="en-JM"/>
        </w:rPr>
        <w:t>the ground</w:t>
      </w:r>
      <w:r w:rsidR="009E6A09">
        <w:rPr>
          <w:rFonts w:ascii="Tahoma" w:eastAsia="Times New Roman" w:hAnsi="Tahoma" w:cs="Tahoma"/>
          <w:color w:val="000000"/>
          <w:sz w:val="24"/>
          <w:szCs w:val="24"/>
          <w:lang w:val="en-JM" w:eastAsia="en-JM"/>
        </w:rPr>
        <w:t xml:space="preserve"> previously</w:t>
      </w:r>
      <w:r w:rsidR="000A41AA">
        <w:rPr>
          <w:rFonts w:ascii="Tahoma" w:eastAsia="Times New Roman" w:hAnsi="Tahoma" w:cs="Tahoma"/>
          <w:color w:val="000000"/>
          <w:sz w:val="24"/>
          <w:szCs w:val="24"/>
          <w:lang w:val="en-JM" w:eastAsia="en-JM"/>
        </w:rPr>
        <w:t xml:space="preserve"> covered by it </w:t>
      </w:r>
      <w:r w:rsidR="003E508A">
        <w:rPr>
          <w:rFonts w:ascii="Tahoma" w:eastAsia="Times New Roman" w:hAnsi="Tahoma" w:cs="Tahoma"/>
          <w:color w:val="000000"/>
          <w:sz w:val="24"/>
          <w:szCs w:val="24"/>
          <w:lang w:val="en-JM" w:eastAsia="en-JM"/>
        </w:rPr>
        <w:t xml:space="preserve">with regarding voluntariness </w:t>
      </w:r>
      <w:r w:rsidR="000A41AA">
        <w:rPr>
          <w:rFonts w:ascii="Tahoma" w:eastAsia="Times New Roman" w:hAnsi="Tahoma" w:cs="Tahoma"/>
          <w:color w:val="000000"/>
          <w:sz w:val="24"/>
          <w:szCs w:val="24"/>
          <w:lang w:val="en-JM" w:eastAsia="en-JM"/>
        </w:rPr>
        <w:t xml:space="preserve">in the </w:t>
      </w:r>
      <w:r w:rsidR="000A41AA" w:rsidRPr="00E11114">
        <w:rPr>
          <w:rFonts w:ascii="Tahoma" w:eastAsia="Times New Roman" w:hAnsi="Tahoma" w:cs="Tahoma"/>
          <w:i/>
          <w:color w:val="000000"/>
          <w:sz w:val="24"/>
          <w:szCs w:val="24"/>
          <w:lang w:val="en-JM" w:eastAsia="en-JM"/>
        </w:rPr>
        <w:t>voir dire</w:t>
      </w:r>
      <w:r w:rsidR="000A41AA">
        <w:rPr>
          <w:rFonts w:ascii="Tahoma" w:eastAsia="Times New Roman" w:hAnsi="Tahoma" w:cs="Tahoma"/>
          <w:color w:val="000000"/>
          <w:sz w:val="24"/>
          <w:szCs w:val="24"/>
          <w:lang w:val="en-JM" w:eastAsia="en-JM"/>
        </w:rPr>
        <w:t xml:space="preserve">. The purpose of this exercise </w:t>
      </w:r>
      <w:r w:rsidR="00337064">
        <w:rPr>
          <w:rFonts w:ascii="Tahoma" w:eastAsia="Times New Roman" w:hAnsi="Tahoma" w:cs="Tahoma"/>
          <w:color w:val="000000"/>
          <w:sz w:val="24"/>
          <w:szCs w:val="24"/>
          <w:lang w:val="en-JM" w:eastAsia="en-JM"/>
        </w:rPr>
        <w:t>wa</w:t>
      </w:r>
      <w:r w:rsidR="000A41AA">
        <w:rPr>
          <w:rFonts w:ascii="Tahoma" w:eastAsia="Times New Roman" w:hAnsi="Tahoma" w:cs="Tahoma"/>
          <w:color w:val="000000"/>
          <w:sz w:val="24"/>
          <w:szCs w:val="24"/>
          <w:lang w:val="en-JM" w:eastAsia="en-JM"/>
        </w:rPr>
        <w:t>s to bring to the jury’s attention the circumstances in which, on the defence’s account, the alleged statement was made</w:t>
      </w:r>
      <w:r w:rsidR="009E6A09">
        <w:rPr>
          <w:rFonts w:ascii="Tahoma" w:eastAsia="Times New Roman" w:hAnsi="Tahoma" w:cs="Tahoma"/>
          <w:color w:val="000000"/>
          <w:sz w:val="24"/>
          <w:szCs w:val="24"/>
          <w:lang w:val="en-JM" w:eastAsia="en-JM"/>
        </w:rPr>
        <w:t>. Questions of the weight of evidence being always a matter for the jury,</w:t>
      </w:r>
      <w:r w:rsidR="000A41AA">
        <w:rPr>
          <w:rFonts w:ascii="Tahoma" w:eastAsia="Times New Roman" w:hAnsi="Tahoma" w:cs="Tahoma"/>
          <w:color w:val="000000"/>
          <w:sz w:val="24"/>
          <w:szCs w:val="24"/>
          <w:lang w:val="en-JM" w:eastAsia="en-JM"/>
        </w:rPr>
        <w:t xml:space="preserve"> the ultimate aim </w:t>
      </w:r>
      <w:r w:rsidR="009E6A09">
        <w:rPr>
          <w:rFonts w:ascii="Tahoma" w:eastAsia="Times New Roman" w:hAnsi="Tahoma" w:cs="Tahoma"/>
          <w:color w:val="000000"/>
          <w:sz w:val="24"/>
          <w:szCs w:val="24"/>
          <w:lang w:val="en-JM" w:eastAsia="en-JM"/>
        </w:rPr>
        <w:t>w</w:t>
      </w:r>
      <w:r w:rsidR="003E508A">
        <w:rPr>
          <w:rFonts w:ascii="Tahoma" w:eastAsia="Times New Roman" w:hAnsi="Tahoma" w:cs="Tahoma"/>
          <w:color w:val="000000"/>
          <w:sz w:val="24"/>
          <w:szCs w:val="24"/>
          <w:lang w:val="en-JM" w:eastAsia="en-JM"/>
        </w:rPr>
        <w:t>as</w:t>
      </w:r>
      <w:r w:rsidR="000A41AA">
        <w:rPr>
          <w:rFonts w:ascii="Tahoma" w:eastAsia="Times New Roman" w:hAnsi="Tahoma" w:cs="Tahoma"/>
          <w:color w:val="000000"/>
          <w:sz w:val="24"/>
          <w:szCs w:val="24"/>
          <w:lang w:val="en-JM" w:eastAsia="en-JM"/>
        </w:rPr>
        <w:t xml:space="preserve"> to invite the</w:t>
      </w:r>
      <w:r w:rsidR="009E6A09">
        <w:rPr>
          <w:rFonts w:ascii="Tahoma" w:eastAsia="Times New Roman" w:hAnsi="Tahoma" w:cs="Tahoma"/>
          <w:color w:val="000000"/>
          <w:sz w:val="24"/>
          <w:szCs w:val="24"/>
          <w:lang w:val="en-JM" w:eastAsia="en-JM"/>
        </w:rPr>
        <w:t>m</w:t>
      </w:r>
      <w:r w:rsidR="000A41AA">
        <w:rPr>
          <w:rFonts w:ascii="Tahoma" w:eastAsia="Times New Roman" w:hAnsi="Tahoma" w:cs="Tahoma"/>
          <w:color w:val="000000"/>
          <w:sz w:val="24"/>
          <w:szCs w:val="24"/>
          <w:lang w:val="en-JM" w:eastAsia="en-JM"/>
        </w:rPr>
        <w:t xml:space="preserve"> to conclude</w:t>
      </w:r>
      <w:r w:rsidR="009E6A09">
        <w:rPr>
          <w:rFonts w:ascii="Tahoma" w:eastAsia="Times New Roman" w:hAnsi="Tahoma" w:cs="Tahoma"/>
          <w:color w:val="000000"/>
          <w:sz w:val="24"/>
          <w:szCs w:val="24"/>
          <w:lang w:val="en-JM" w:eastAsia="en-JM"/>
        </w:rPr>
        <w:t>, at the end of the day,</w:t>
      </w:r>
      <w:r w:rsidR="000A41AA">
        <w:rPr>
          <w:rFonts w:ascii="Tahoma" w:eastAsia="Times New Roman" w:hAnsi="Tahoma" w:cs="Tahoma"/>
          <w:color w:val="000000"/>
          <w:sz w:val="24"/>
          <w:szCs w:val="24"/>
          <w:lang w:val="en-JM" w:eastAsia="en-JM"/>
        </w:rPr>
        <w:t xml:space="preserve"> that the statement </w:t>
      </w:r>
      <w:r w:rsidR="00337064">
        <w:rPr>
          <w:rFonts w:ascii="Tahoma" w:eastAsia="Times New Roman" w:hAnsi="Tahoma" w:cs="Tahoma"/>
          <w:color w:val="000000"/>
          <w:sz w:val="24"/>
          <w:szCs w:val="24"/>
          <w:lang w:val="en-JM" w:eastAsia="en-JM"/>
        </w:rPr>
        <w:t>wa</w:t>
      </w:r>
      <w:r w:rsidR="000A41AA">
        <w:rPr>
          <w:rFonts w:ascii="Tahoma" w:eastAsia="Times New Roman" w:hAnsi="Tahoma" w:cs="Tahoma"/>
          <w:color w:val="000000"/>
          <w:sz w:val="24"/>
          <w:szCs w:val="24"/>
          <w:lang w:val="en-JM" w:eastAsia="en-JM"/>
        </w:rPr>
        <w:t xml:space="preserve">s not capable of belief in the light of </w:t>
      </w:r>
      <w:r w:rsidR="009E6A09">
        <w:rPr>
          <w:rFonts w:ascii="Tahoma" w:eastAsia="Times New Roman" w:hAnsi="Tahoma" w:cs="Tahoma"/>
          <w:color w:val="000000"/>
          <w:sz w:val="24"/>
          <w:szCs w:val="24"/>
          <w:lang w:val="en-JM" w:eastAsia="en-JM"/>
        </w:rPr>
        <w:t>all the</w:t>
      </w:r>
      <w:r w:rsidR="000A41AA">
        <w:rPr>
          <w:rFonts w:ascii="Tahoma" w:eastAsia="Times New Roman" w:hAnsi="Tahoma" w:cs="Tahoma"/>
          <w:color w:val="000000"/>
          <w:sz w:val="24"/>
          <w:szCs w:val="24"/>
          <w:lang w:val="en-JM" w:eastAsia="en-JM"/>
        </w:rPr>
        <w:t xml:space="preserve"> circumstances.</w:t>
      </w:r>
    </w:p>
    <w:p w:rsidR="00E83B22" w:rsidRDefault="00E83B22" w:rsidP="00E83B22">
      <w:pPr>
        <w:spacing w:after="0" w:line="240" w:lineRule="auto"/>
        <w:jc w:val="both"/>
        <w:rPr>
          <w:rFonts w:ascii="Tahoma" w:eastAsia="Times New Roman" w:hAnsi="Tahoma" w:cs="Tahoma"/>
          <w:color w:val="000000"/>
          <w:sz w:val="24"/>
          <w:szCs w:val="24"/>
          <w:lang w:val="en-JM" w:eastAsia="en-JM"/>
        </w:rPr>
      </w:pPr>
    </w:p>
    <w:p w:rsidR="005B4C3B" w:rsidRDefault="009E6A09" w:rsidP="008A18E2">
      <w:pPr>
        <w:spacing w:after="100" w:line="480" w:lineRule="auto"/>
        <w:jc w:val="both"/>
        <w:rPr>
          <w:rFonts w:ascii="Tahoma" w:eastAsia="Times New Roman" w:hAnsi="Tahoma" w:cs="Tahoma"/>
          <w:color w:val="000000"/>
          <w:sz w:val="24"/>
          <w:szCs w:val="24"/>
          <w:lang w:val="en-JM" w:eastAsia="en-JM"/>
        </w:rPr>
      </w:pPr>
      <w:r>
        <w:rPr>
          <w:rFonts w:ascii="Tahoma" w:eastAsia="Times New Roman" w:hAnsi="Tahoma" w:cs="Tahoma"/>
          <w:color w:val="000000"/>
          <w:sz w:val="24"/>
          <w:szCs w:val="24"/>
          <w:lang w:val="en-JM" w:eastAsia="en-JM"/>
        </w:rPr>
        <w:t>4</w:t>
      </w:r>
      <w:r w:rsidR="0094522F">
        <w:rPr>
          <w:rFonts w:ascii="Tahoma" w:eastAsia="Times New Roman" w:hAnsi="Tahoma" w:cs="Tahoma"/>
          <w:color w:val="000000"/>
          <w:sz w:val="24"/>
          <w:szCs w:val="24"/>
          <w:lang w:val="en-JM" w:eastAsia="en-JM"/>
        </w:rPr>
        <w:t>5</w:t>
      </w:r>
      <w:r>
        <w:rPr>
          <w:rFonts w:ascii="Tahoma" w:eastAsia="Times New Roman" w:hAnsi="Tahoma" w:cs="Tahoma"/>
          <w:color w:val="000000"/>
          <w:sz w:val="24"/>
          <w:szCs w:val="24"/>
          <w:lang w:val="en-JM" w:eastAsia="en-JM"/>
        </w:rPr>
        <w:t xml:space="preserve">.   </w:t>
      </w:r>
      <w:r w:rsidR="008A18E2">
        <w:rPr>
          <w:rFonts w:ascii="Tahoma" w:eastAsia="Times New Roman" w:hAnsi="Tahoma" w:cs="Tahoma"/>
          <w:color w:val="000000"/>
          <w:sz w:val="24"/>
          <w:szCs w:val="24"/>
          <w:lang w:val="en-JM" w:eastAsia="en-JM"/>
        </w:rPr>
        <w:t xml:space="preserve">The traditional position was that, </w:t>
      </w:r>
      <w:r w:rsidR="008873F5">
        <w:rPr>
          <w:rFonts w:ascii="Tahoma" w:eastAsia="Times New Roman" w:hAnsi="Tahoma" w:cs="Tahoma"/>
          <w:color w:val="000000"/>
          <w:sz w:val="24"/>
          <w:szCs w:val="24"/>
          <w:lang w:val="en-JM" w:eastAsia="en-JM"/>
        </w:rPr>
        <w:t xml:space="preserve">because </w:t>
      </w:r>
      <w:r>
        <w:rPr>
          <w:rFonts w:ascii="Tahoma" w:eastAsia="Times New Roman" w:hAnsi="Tahoma" w:cs="Tahoma"/>
          <w:color w:val="000000"/>
          <w:sz w:val="24"/>
          <w:szCs w:val="24"/>
          <w:lang w:val="en-JM" w:eastAsia="en-JM"/>
        </w:rPr>
        <w:t>voluntariness</w:t>
      </w:r>
      <w:r w:rsidR="008873F5">
        <w:rPr>
          <w:rFonts w:ascii="Tahoma" w:eastAsia="Times New Roman" w:hAnsi="Tahoma" w:cs="Tahoma"/>
          <w:color w:val="000000"/>
          <w:sz w:val="24"/>
          <w:szCs w:val="24"/>
          <w:lang w:val="en-JM" w:eastAsia="en-JM"/>
        </w:rPr>
        <w:t xml:space="preserve"> was primarily a test of admissibility, upon which the judge had</w:t>
      </w:r>
      <w:r>
        <w:rPr>
          <w:rFonts w:ascii="Tahoma" w:eastAsia="Times New Roman" w:hAnsi="Tahoma" w:cs="Tahoma"/>
          <w:color w:val="000000"/>
          <w:sz w:val="24"/>
          <w:szCs w:val="24"/>
          <w:lang w:val="en-JM" w:eastAsia="en-JM"/>
        </w:rPr>
        <w:t xml:space="preserve"> already ruled on the </w:t>
      </w:r>
      <w:r w:rsidRPr="008A18E2">
        <w:rPr>
          <w:rFonts w:ascii="Tahoma" w:eastAsia="Times New Roman" w:hAnsi="Tahoma" w:cs="Tahoma"/>
          <w:i/>
          <w:color w:val="000000"/>
          <w:sz w:val="24"/>
          <w:szCs w:val="24"/>
          <w:lang w:val="en-JM" w:eastAsia="en-JM"/>
        </w:rPr>
        <w:t>voir dire</w:t>
      </w:r>
      <w:r>
        <w:rPr>
          <w:rFonts w:ascii="Tahoma" w:eastAsia="Times New Roman" w:hAnsi="Tahoma" w:cs="Tahoma"/>
          <w:color w:val="000000"/>
          <w:sz w:val="24"/>
          <w:szCs w:val="24"/>
          <w:lang w:val="en-JM" w:eastAsia="en-JM"/>
        </w:rPr>
        <w:t xml:space="preserve">, </w:t>
      </w:r>
      <w:r w:rsidR="008873F5">
        <w:rPr>
          <w:rFonts w:ascii="Tahoma" w:eastAsia="Times New Roman" w:hAnsi="Tahoma" w:cs="Tahoma"/>
          <w:color w:val="000000"/>
          <w:sz w:val="24"/>
          <w:szCs w:val="24"/>
          <w:lang w:val="en-JM" w:eastAsia="en-JM"/>
        </w:rPr>
        <w:t>all that remained for the jury to consider at th</w:t>
      </w:r>
      <w:r w:rsidR="00901873">
        <w:rPr>
          <w:rFonts w:ascii="Tahoma" w:eastAsia="Times New Roman" w:hAnsi="Tahoma" w:cs="Tahoma"/>
          <w:color w:val="000000"/>
          <w:sz w:val="24"/>
          <w:szCs w:val="24"/>
          <w:lang w:val="en-JM" w:eastAsia="en-JM"/>
        </w:rPr>
        <w:t>i</w:t>
      </w:r>
      <w:r w:rsidR="008873F5">
        <w:rPr>
          <w:rFonts w:ascii="Tahoma" w:eastAsia="Times New Roman" w:hAnsi="Tahoma" w:cs="Tahoma"/>
          <w:color w:val="000000"/>
          <w:sz w:val="24"/>
          <w:szCs w:val="24"/>
          <w:lang w:val="en-JM" w:eastAsia="en-JM"/>
        </w:rPr>
        <w:t xml:space="preserve">s stage was the probative value and effect of the statement. </w:t>
      </w:r>
      <w:r w:rsidR="00B97E1D">
        <w:rPr>
          <w:rFonts w:ascii="Tahoma" w:eastAsia="Times New Roman" w:hAnsi="Tahoma" w:cs="Tahoma"/>
          <w:color w:val="000000"/>
          <w:sz w:val="24"/>
          <w:szCs w:val="24"/>
          <w:lang w:val="en-JM" w:eastAsia="en-JM"/>
        </w:rPr>
        <w:t>T</w:t>
      </w:r>
      <w:r>
        <w:rPr>
          <w:rFonts w:ascii="Tahoma" w:eastAsia="Times New Roman" w:hAnsi="Tahoma" w:cs="Tahoma"/>
          <w:color w:val="000000"/>
          <w:sz w:val="24"/>
          <w:szCs w:val="24"/>
          <w:lang w:val="en-JM" w:eastAsia="en-JM"/>
        </w:rPr>
        <w:t xml:space="preserve">he governing </w:t>
      </w:r>
      <w:r w:rsidR="00B97E1D">
        <w:rPr>
          <w:rFonts w:ascii="Tahoma" w:eastAsia="Times New Roman" w:hAnsi="Tahoma" w:cs="Tahoma"/>
          <w:color w:val="000000"/>
          <w:sz w:val="24"/>
          <w:szCs w:val="24"/>
          <w:lang w:val="en-JM" w:eastAsia="en-JM"/>
        </w:rPr>
        <w:t>authority was</w:t>
      </w:r>
      <w:r>
        <w:rPr>
          <w:rFonts w:ascii="Tahoma" w:eastAsia="Times New Roman" w:hAnsi="Tahoma" w:cs="Tahoma"/>
          <w:color w:val="000000"/>
          <w:sz w:val="24"/>
          <w:szCs w:val="24"/>
          <w:lang w:val="en-JM" w:eastAsia="en-JM"/>
        </w:rPr>
        <w:t xml:space="preserve"> </w:t>
      </w:r>
      <w:r w:rsidR="00B97E1D">
        <w:rPr>
          <w:rFonts w:ascii="Tahoma" w:eastAsia="Times New Roman" w:hAnsi="Tahoma" w:cs="Tahoma"/>
          <w:b/>
          <w:color w:val="000000"/>
          <w:sz w:val="24"/>
          <w:szCs w:val="24"/>
          <w:lang w:val="en-JM" w:eastAsia="en-JM"/>
        </w:rPr>
        <w:t xml:space="preserve">Chan </w:t>
      </w:r>
      <w:r w:rsidRPr="009E6A09">
        <w:rPr>
          <w:rFonts w:ascii="Tahoma" w:eastAsia="Times New Roman" w:hAnsi="Tahoma" w:cs="Tahoma"/>
          <w:b/>
          <w:color w:val="000000"/>
          <w:sz w:val="24"/>
          <w:szCs w:val="24"/>
          <w:lang w:val="en-JM" w:eastAsia="en-JM"/>
        </w:rPr>
        <w:t>Wei</w:t>
      </w:r>
      <w:r w:rsidR="00B97E1D">
        <w:rPr>
          <w:rFonts w:ascii="Tahoma" w:eastAsia="Times New Roman" w:hAnsi="Tahoma" w:cs="Tahoma"/>
          <w:b/>
          <w:color w:val="000000"/>
          <w:sz w:val="24"/>
          <w:szCs w:val="24"/>
          <w:lang w:val="en-JM" w:eastAsia="en-JM"/>
        </w:rPr>
        <w:t>-</w:t>
      </w:r>
      <w:r w:rsidRPr="009E6A09">
        <w:rPr>
          <w:rFonts w:ascii="Tahoma" w:eastAsia="Times New Roman" w:hAnsi="Tahoma" w:cs="Tahoma"/>
          <w:b/>
          <w:color w:val="000000"/>
          <w:sz w:val="24"/>
          <w:szCs w:val="24"/>
          <w:lang w:val="en-JM" w:eastAsia="en-JM"/>
        </w:rPr>
        <w:t>Keung v R</w:t>
      </w:r>
      <w:r w:rsidRPr="00B97E1D">
        <w:rPr>
          <w:rStyle w:val="FootnoteReference"/>
          <w:rFonts w:ascii="Tahoma" w:eastAsia="Times New Roman" w:hAnsi="Tahoma" w:cs="Tahoma"/>
          <w:color w:val="000000"/>
          <w:sz w:val="24"/>
          <w:szCs w:val="24"/>
          <w:lang w:val="en-JM" w:eastAsia="en-JM"/>
        </w:rPr>
        <w:footnoteReference w:id="79"/>
      </w:r>
      <w:r w:rsidR="00B97E1D" w:rsidRPr="00B97E1D">
        <w:rPr>
          <w:rFonts w:ascii="Tahoma" w:eastAsia="Times New Roman" w:hAnsi="Tahoma" w:cs="Tahoma"/>
          <w:color w:val="000000"/>
          <w:sz w:val="24"/>
          <w:szCs w:val="24"/>
          <w:lang w:val="en-JM" w:eastAsia="en-JM"/>
        </w:rPr>
        <w:t xml:space="preserve">, </w:t>
      </w:r>
      <w:r w:rsidR="008A18E2">
        <w:rPr>
          <w:rFonts w:ascii="Tahoma" w:eastAsia="Times New Roman" w:hAnsi="Tahoma" w:cs="Tahoma"/>
          <w:color w:val="000000"/>
          <w:sz w:val="24"/>
          <w:szCs w:val="24"/>
          <w:lang w:val="en-JM" w:eastAsia="en-JM"/>
        </w:rPr>
        <w:t xml:space="preserve">a case in </w:t>
      </w:r>
      <w:r w:rsidR="00B97E1D" w:rsidRPr="00B97E1D">
        <w:rPr>
          <w:rFonts w:ascii="Tahoma" w:eastAsia="Times New Roman" w:hAnsi="Tahoma" w:cs="Tahoma"/>
          <w:color w:val="000000"/>
          <w:sz w:val="24"/>
          <w:szCs w:val="24"/>
          <w:lang w:val="en-JM" w:eastAsia="en-JM"/>
        </w:rPr>
        <w:t>the Privy Council on appeal from Hong Kong</w:t>
      </w:r>
      <w:r w:rsidR="008A18E2">
        <w:rPr>
          <w:rFonts w:ascii="Tahoma" w:eastAsia="Times New Roman" w:hAnsi="Tahoma" w:cs="Tahoma"/>
          <w:color w:val="000000"/>
          <w:sz w:val="24"/>
          <w:szCs w:val="24"/>
          <w:lang w:val="en-JM" w:eastAsia="en-JM"/>
        </w:rPr>
        <w:t xml:space="preserve">, where the issue at the trial of the appellant for murder was the admissibility of </w:t>
      </w:r>
      <w:r w:rsidR="008A18E2" w:rsidRPr="008A18E2">
        <w:rPr>
          <w:rFonts w:ascii="Tahoma" w:hAnsi="Tahoma" w:cs="Tahoma"/>
          <w:sz w:val="24"/>
          <w:szCs w:val="24"/>
          <w:shd w:val="clear" w:color="auto" w:fill="FFFFFF"/>
        </w:rPr>
        <w:t>two written statements confessing to the murder of the deceased</w:t>
      </w:r>
      <w:r w:rsidR="008A18E2">
        <w:rPr>
          <w:rFonts w:ascii="Tahoma" w:hAnsi="Tahoma" w:cs="Tahoma"/>
          <w:sz w:val="24"/>
          <w:szCs w:val="24"/>
          <w:shd w:val="clear" w:color="auto" w:fill="FFFFFF"/>
        </w:rPr>
        <w:t>. The</w:t>
      </w:r>
      <w:r w:rsidR="008A18E2" w:rsidRPr="008A18E2">
        <w:rPr>
          <w:rFonts w:ascii="Tahoma" w:hAnsi="Tahoma" w:cs="Tahoma"/>
          <w:sz w:val="24"/>
          <w:szCs w:val="24"/>
          <w:shd w:val="clear" w:color="auto" w:fill="FFFFFF"/>
        </w:rPr>
        <w:t xml:space="preserve"> Privy Council </w:t>
      </w:r>
      <w:r w:rsidR="00B97E1D" w:rsidRPr="008A18E2">
        <w:rPr>
          <w:rFonts w:ascii="Tahoma" w:eastAsia="Times New Roman" w:hAnsi="Tahoma" w:cs="Tahoma"/>
          <w:sz w:val="24"/>
          <w:szCs w:val="24"/>
          <w:lang w:val="en-JM" w:eastAsia="en-JM"/>
        </w:rPr>
        <w:t xml:space="preserve">held that the judge </w:t>
      </w:r>
      <w:r w:rsidR="008A18E2">
        <w:rPr>
          <w:rFonts w:ascii="Tahoma" w:eastAsia="Times New Roman" w:hAnsi="Tahoma" w:cs="Tahoma"/>
          <w:sz w:val="24"/>
          <w:szCs w:val="24"/>
          <w:lang w:val="en-JM" w:eastAsia="en-JM"/>
        </w:rPr>
        <w:t xml:space="preserve">had been under no obligation </w:t>
      </w:r>
      <w:r w:rsidR="00B97E1D" w:rsidRPr="008A18E2">
        <w:rPr>
          <w:rFonts w:ascii="Tahoma" w:eastAsia="Times New Roman" w:hAnsi="Tahoma" w:cs="Tahoma"/>
          <w:sz w:val="24"/>
          <w:szCs w:val="24"/>
          <w:lang w:val="en-JM" w:eastAsia="en-JM"/>
        </w:rPr>
        <w:t>to give “</w:t>
      </w:r>
      <w:r w:rsidR="00B97E1D" w:rsidRPr="008A18E2">
        <w:rPr>
          <w:rFonts w:ascii="Tahoma" w:hAnsi="Tahoma" w:cs="Tahoma"/>
          <w:sz w:val="24"/>
          <w:szCs w:val="24"/>
          <w:shd w:val="clear" w:color="auto" w:fill="FFFFFF"/>
        </w:rPr>
        <w:t xml:space="preserve">a </w:t>
      </w:r>
      <w:r w:rsidR="00B97E1D" w:rsidRPr="008A18E2">
        <w:rPr>
          <w:rFonts w:ascii="Tahoma" w:hAnsi="Tahoma" w:cs="Tahoma"/>
          <w:sz w:val="24"/>
          <w:szCs w:val="24"/>
          <w:shd w:val="clear" w:color="auto" w:fill="FFFFFF"/>
        </w:rPr>
        <w:lastRenderedPageBreak/>
        <w:t>specific direction that the jury must be satisfied beyond reasonable doubt as to the voluntariness of the confessions before giving them any consideration”.</w:t>
      </w:r>
      <w:r w:rsidR="005B4C3B">
        <w:rPr>
          <w:rFonts w:ascii="Tahoma" w:hAnsi="Tahoma" w:cs="Tahoma"/>
          <w:sz w:val="24"/>
          <w:szCs w:val="24"/>
          <w:shd w:val="clear" w:color="auto" w:fill="FFFFFF"/>
        </w:rPr>
        <w:t xml:space="preserve"> </w:t>
      </w:r>
      <w:r w:rsidR="005B4C3B">
        <w:rPr>
          <w:rFonts w:ascii="Tahoma" w:eastAsia="Times New Roman" w:hAnsi="Tahoma" w:cs="Tahoma"/>
          <w:color w:val="000000"/>
          <w:sz w:val="24"/>
          <w:szCs w:val="24"/>
          <w:lang w:val="en-JM" w:eastAsia="en-JM"/>
        </w:rPr>
        <w:t xml:space="preserve">The rule was therefore that, as Haynes C put it (memorably) in </w:t>
      </w:r>
      <w:r w:rsidR="00B410FE">
        <w:rPr>
          <w:rFonts w:ascii="Tahoma" w:eastAsia="Times New Roman" w:hAnsi="Tahoma" w:cs="Tahoma"/>
          <w:color w:val="000000"/>
          <w:sz w:val="24"/>
          <w:szCs w:val="24"/>
          <w:lang w:val="en-JM" w:eastAsia="en-JM"/>
        </w:rPr>
        <w:t xml:space="preserve">his judgment in </w:t>
      </w:r>
      <w:r w:rsidR="005B4C3B">
        <w:rPr>
          <w:rFonts w:ascii="Tahoma" w:eastAsia="Times New Roman" w:hAnsi="Tahoma" w:cs="Tahoma"/>
          <w:color w:val="000000"/>
          <w:sz w:val="24"/>
          <w:szCs w:val="24"/>
          <w:lang w:val="en-JM" w:eastAsia="en-JM"/>
        </w:rPr>
        <w:t xml:space="preserve">the leading Guyanese case of </w:t>
      </w:r>
      <w:r w:rsidR="005B4C3B" w:rsidRPr="008873F5">
        <w:rPr>
          <w:rFonts w:ascii="Tahoma" w:eastAsia="Times New Roman" w:hAnsi="Tahoma" w:cs="Tahoma"/>
          <w:b/>
          <w:color w:val="000000"/>
          <w:sz w:val="24"/>
          <w:szCs w:val="24"/>
          <w:lang w:val="en-JM" w:eastAsia="en-JM"/>
        </w:rPr>
        <w:t>State v Gobin &amp; Griffith</w:t>
      </w:r>
      <w:r w:rsidR="005B4C3B" w:rsidRPr="008873F5">
        <w:rPr>
          <w:rStyle w:val="FootnoteReference"/>
          <w:rFonts w:ascii="Tahoma" w:eastAsia="Times New Roman" w:hAnsi="Tahoma" w:cs="Tahoma"/>
          <w:color w:val="000000"/>
          <w:sz w:val="24"/>
          <w:szCs w:val="24"/>
          <w:lang w:val="en-JM" w:eastAsia="en-JM"/>
        </w:rPr>
        <w:footnoteReference w:id="80"/>
      </w:r>
      <w:r w:rsidR="00B410FE" w:rsidRPr="00B410FE">
        <w:rPr>
          <w:rFonts w:ascii="Tahoma" w:eastAsia="Times New Roman" w:hAnsi="Tahoma" w:cs="Tahoma"/>
          <w:color w:val="000000"/>
          <w:sz w:val="24"/>
          <w:szCs w:val="24"/>
          <w:lang w:val="en-JM" w:eastAsia="en-JM"/>
        </w:rPr>
        <w:t>,</w:t>
      </w:r>
      <w:r w:rsidR="005B4C3B">
        <w:rPr>
          <w:rFonts w:ascii="Tahoma" w:eastAsia="Times New Roman" w:hAnsi="Tahoma" w:cs="Tahoma"/>
          <w:b/>
          <w:color w:val="000000"/>
          <w:sz w:val="24"/>
          <w:szCs w:val="24"/>
          <w:lang w:val="en-JM" w:eastAsia="en-JM"/>
        </w:rPr>
        <w:t xml:space="preserve"> </w:t>
      </w:r>
      <w:r w:rsidR="005B4C3B">
        <w:rPr>
          <w:rFonts w:ascii="Tahoma" w:eastAsia="Times New Roman" w:hAnsi="Tahoma" w:cs="Tahoma"/>
          <w:color w:val="000000"/>
          <w:sz w:val="24"/>
          <w:szCs w:val="24"/>
          <w:lang w:val="en-JM" w:eastAsia="en-JM"/>
        </w:rPr>
        <w:t>-</w:t>
      </w:r>
    </w:p>
    <w:p w:rsidR="006D5F26" w:rsidRDefault="005B4C3B" w:rsidP="005B4C3B">
      <w:pPr>
        <w:spacing w:after="100" w:line="240" w:lineRule="auto"/>
        <w:ind w:left="1440" w:right="1440"/>
        <w:jc w:val="both"/>
        <w:rPr>
          <w:rFonts w:ascii="Tahoma" w:eastAsia="Times New Roman" w:hAnsi="Tahoma" w:cs="Tahoma"/>
          <w:color w:val="000000"/>
          <w:sz w:val="24"/>
          <w:szCs w:val="24"/>
          <w:lang w:val="en-JM" w:eastAsia="en-JM"/>
        </w:rPr>
      </w:pPr>
      <w:r>
        <w:rPr>
          <w:rFonts w:ascii="Tahoma" w:eastAsia="Times New Roman" w:hAnsi="Tahoma" w:cs="Tahoma"/>
          <w:color w:val="000000"/>
          <w:sz w:val="24"/>
          <w:szCs w:val="24"/>
          <w:lang w:val="en-JM" w:eastAsia="en-JM"/>
        </w:rPr>
        <w:t>“…the jury are not to be directed to disregard a confession or guilty admission if, in their view, it was improperly induced; but they are entitled to consider this factor in deciding what weight to give to it. In other words, for them, involuntariness does not disqualify the evidence, but it might qualify its weight, and it would be a misdirection to tell the jury otherwise.”</w:t>
      </w:r>
    </w:p>
    <w:p w:rsidR="005B4C3B" w:rsidRDefault="005B4C3B" w:rsidP="005B4C3B">
      <w:pPr>
        <w:spacing w:after="100" w:line="240" w:lineRule="auto"/>
        <w:ind w:left="1440" w:right="1440"/>
        <w:jc w:val="both"/>
        <w:rPr>
          <w:rFonts w:ascii="Tahoma" w:hAnsi="Tahoma" w:cs="Tahoma"/>
          <w:sz w:val="24"/>
          <w:szCs w:val="24"/>
        </w:rPr>
      </w:pPr>
    </w:p>
    <w:p w:rsidR="0087061F" w:rsidRDefault="008A18E2" w:rsidP="008A18E2">
      <w:pPr>
        <w:spacing w:after="100" w:line="480" w:lineRule="auto"/>
        <w:jc w:val="both"/>
        <w:rPr>
          <w:rFonts w:ascii="Tahoma" w:hAnsi="Tahoma" w:cs="Tahoma"/>
          <w:sz w:val="24"/>
          <w:szCs w:val="24"/>
        </w:rPr>
      </w:pPr>
      <w:r>
        <w:rPr>
          <w:rFonts w:ascii="Tahoma" w:hAnsi="Tahoma" w:cs="Tahoma"/>
          <w:sz w:val="24"/>
          <w:szCs w:val="24"/>
        </w:rPr>
        <w:t>4</w:t>
      </w:r>
      <w:r w:rsidR="0094522F">
        <w:rPr>
          <w:rFonts w:ascii="Tahoma" w:hAnsi="Tahoma" w:cs="Tahoma"/>
          <w:sz w:val="24"/>
          <w:szCs w:val="24"/>
        </w:rPr>
        <w:t>6</w:t>
      </w:r>
      <w:r>
        <w:rPr>
          <w:rFonts w:ascii="Tahoma" w:hAnsi="Tahoma" w:cs="Tahoma"/>
          <w:sz w:val="24"/>
          <w:szCs w:val="24"/>
        </w:rPr>
        <w:t xml:space="preserve">.   </w:t>
      </w:r>
      <w:r w:rsidR="00F438CC">
        <w:rPr>
          <w:rFonts w:ascii="Tahoma" w:hAnsi="Tahoma" w:cs="Tahoma"/>
          <w:sz w:val="24"/>
          <w:szCs w:val="24"/>
        </w:rPr>
        <w:t xml:space="preserve">In </w:t>
      </w:r>
      <w:r w:rsidRPr="008A18E2">
        <w:rPr>
          <w:rFonts w:ascii="Tahoma" w:hAnsi="Tahoma" w:cs="Tahoma"/>
          <w:b/>
          <w:sz w:val="24"/>
          <w:szCs w:val="24"/>
        </w:rPr>
        <w:t xml:space="preserve">R v </w:t>
      </w:r>
      <w:proofErr w:type="spellStart"/>
      <w:r w:rsidRPr="008A18E2">
        <w:rPr>
          <w:rFonts w:ascii="Tahoma" w:hAnsi="Tahoma" w:cs="Tahoma"/>
          <w:b/>
          <w:sz w:val="24"/>
          <w:szCs w:val="24"/>
        </w:rPr>
        <w:t>Mushtaq</w:t>
      </w:r>
      <w:proofErr w:type="spellEnd"/>
      <w:r w:rsidR="00F438CC" w:rsidRPr="00F438CC">
        <w:rPr>
          <w:rStyle w:val="FootnoteReference"/>
          <w:rFonts w:ascii="Tahoma" w:hAnsi="Tahoma" w:cs="Tahoma"/>
          <w:sz w:val="24"/>
          <w:szCs w:val="24"/>
        </w:rPr>
        <w:footnoteReference w:id="81"/>
      </w:r>
      <w:r w:rsidR="00F438CC" w:rsidRPr="00F438CC">
        <w:rPr>
          <w:rFonts w:ascii="Tahoma" w:hAnsi="Tahoma" w:cs="Tahoma"/>
          <w:sz w:val="24"/>
          <w:szCs w:val="24"/>
        </w:rPr>
        <w:t>,</w:t>
      </w:r>
      <w:r w:rsidR="00F438CC">
        <w:rPr>
          <w:rFonts w:ascii="Tahoma" w:hAnsi="Tahoma" w:cs="Tahoma"/>
          <w:b/>
          <w:sz w:val="24"/>
          <w:szCs w:val="24"/>
        </w:rPr>
        <w:t xml:space="preserve"> </w:t>
      </w:r>
      <w:r w:rsidR="00D536DC" w:rsidRPr="00D536DC">
        <w:rPr>
          <w:rFonts w:ascii="Tahoma" w:hAnsi="Tahoma" w:cs="Tahoma"/>
          <w:sz w:val="24"/>
          <w:szCs w:val="24"/>
        </w:rPr>
        <w:t xml:space="preserve">a decision of the House of Lords, </w:t>
      </w:r>
      <w:r w:rsidR="00F438CC" w:rsidRPr="00171AEB">
        <w:rPr>
          <w:rFonts w:ascii="Tahoma" w:hAnsi="Tahoma" w:cs="Tahoma"/>
          <w:sz w:val="24"/>
          <w:szCs w:val="24"/>
        </w:rPr>
        <w:t>t</w:t>
      </w:r>
      <w:r w:rsidR="00F438CC">
        <w:rPr>
          <w:rFonts w:ascii="Tahoma" w:hAnsi="Tahoma" w:cs="Tahoma"/>
          <w:sz w:val="24"/>
          <w:szCs w:val="24"/>
        </w:rPr>
        <w:t xml:space="preserve">he correctness of this ruling was directly </w:t>
      </w:r>
      <w:r w:rsidR="00D536DC">
        <w:rPr>
          <w:rFonts w:ascii="Tahoma" w:hAnsi="Tahoma" w:cs="Tahoma"/>
          <w:sz w:val="24"/>
          <w:szCs w:val="24"/>
        </w:rPr>
        <w:t>impugned</w:t>
      </w:r>
      <w:r w:rsidR="00171AEB">
        <w:rPr>
          <w:rFonts w:ascii="Tahoma" w:hAnsi="Tahoma" w:cs="Tahoma"/>
          <w:sz w:val="24"/>
          <w:szCs w:val="24"/>
        </w:rPr>
        <w:t>.</w:t>
      </w:r>
      <w:r w:rsidR="002F48AB">
        <w:rPr>
          <w:rFonts w:ascii="Tahoma" w:hAnsi="Tahoma" w:cs="Tahoma"/>
          <w:sz w:val="24"/>
          <w:szCs w:val="24"/>
        </w:rPr>
        <w:t xml:space="preserve"> B</w:t>
      </w:r>
      <w:r w:rsidR="00310994">
        <w:rPr>
          <w:rFonts w:ascii="Tahoma" w:hAnsi="Tahoma" w:cs="Tahoma"/>
          <w:sz w:val="24"/>
          <w:szCs w:val="24"/>
        </w:rPr>
        <w:t>ut b</w:t>
      </w:r>
      <w:r w:rsidR="002F48AB">
        <w:rPr>
          <w:rFonts w:ascii="Tahoma" w:hAnsi="Tahoma" w:cs="Tahoma"/>
          <w:sz w:val="24"/>
          <w:szCs w:val="24"/>
        </w:rPr>
        <w:t xml:space="preserve">efore coming to the actual decision, it is necessary to appreciate </w:t>
      </w:r>
      <w:r w:rsidR="00714A56">
        <w:rPr>
          <w:rFonts w:ascii="Tahoma" w:hAnsi="Tahoma" w:cs="Tahoma"/>
          <w:sz w:val="24"/>
          <w:szCs w:val="24"/>
        </w:rPr>
        <w:t>t</w:t>
      </w:r>
      <w:r w:rsidR="0087061F">
        <w:rPr>
          <w:rFonts w:ascii="Tahoma" w:hAnsi="Tahoma" w:cs="Tahoma"/>
          <w:sz w:val="24"/>
          <w:szCs w:val="24"/>
        </w:rPr>
        <w:t>hree</w:t>
      </w:r>
      <w:r w:rsidR="00714A56">
        <w:rPr>
          <w:rFonts w:ascii="Tahoma" w:hAnsi="Tahoma" w:cs="Tahoma"/>
          <w:sz w:val="24"/>
          <w:szCs w:val="24"/>
        </w:rPr>
        <w:t xml:space="preserve"> important</w:t>
      </w:r>
      <w:r w:rsidR="002F48AB">
        <w:rPr>
          <w:rFonts w:ascii="Tahoma" w:hAnsi="Tahoma" w:cs="Tahoma"/>
          <w:sz w:val="24"/>
          <w:szCs w:val="24"/>
        </w:rPr>
        <w:t xml:space="preserve"> aspects of the background to </w:t>
      </w:r>
      <w:r w:rsidR="00B410FE">
        <w:rPr>
          <w:rFonts w:ascii="Tahoma" w:hAnsi="Tahoma" w:cs="Tahoma"/>
          <w:sz w:val="24"/>
          <w:szCs w:val="24"/>
        </w:rPr>
        <w:t>the case</w:t>
      </w:r>
      <w:r w:rsidR="002F48AB" w:rsidRPr="002F48AB">
        <w:rPr>
          <w:rFonts w:ascii="Tahoma" w:hAnsi="Tahoma" w:cs="Tahoma"/>
          <w:sz w:val="24"/>
          <w:szCs w:val="24"/>
        </w:rPr>
        <w:t>.</w:t>
      </w:r>
      <w:r w:rsidR="002F48AB">
        <w:rPr>
          <w:rFonts w:ascii="Tahoma" w:hAnsi="Tahoma" w:cs="Tahoma"/>
          <w:sz w:val="24"/>
          <w:szCs w:val="24"/>
        </w:rPr>
        <w:t xml:space="preserve"> First, as is well known, </w:t>
      </w:r>
      <w:r w:rsidR="00CC7552">
        <w:rPr>
          <w:rFonts w:ascii="Tahoma" w:hAnsi="Tahoma" w:cs="Tahoma"/>
          <w:sz w:val="24"/>
          <w:szCs w:val="24"/>
        </w:rPr>
        <w:t xml:space="preserve">PACE </w:t>
      </w:r>
      <w:r w:rsidR="008C143B">
        <w:rPr>
          <w:rFonts w:ascii="Tahoma" w:hAnsi="Tahoma" w:cs="Tahoma"/>
          <w:sz w:val="24"/>
          <w:szCs w:val="24"/>
        </w:rPr>
        <w:t>was enacted in England in 1984. Section 76(2) of PACE provided that the court should not allow a confession to be given in evidence unless the prosecution proved beyond reasonable doubt that the confession (notwithstanding that it might be true) had not been obtained “(a) by oppression of the person who made it; or (b) in consequence of anything said or done which was likely, in the circumstances existing at the time, to render unreliable any confession which might be made by him in consequence thereof”.</w:t>
      </w:r>
      <w:r w:rsidR="00714A56">
        <w:rPr>
          <w:rFonts w:ascii="Tahoma" w:hAnsi="Tahoma" w:cs="Tahoma"/>
          <w:sz w:val="24"/>
          <w:szCs w:val="24"/>
        </w:rPr>
        <w:t xml:space="preserve"> Second, with the passage of the Human Rights Act 1998, the European Convention for the Protection of Human Rights and Fundamental Freedoms 1950 (as set out in Schedule 1 to the Human Rights Act) became applicable to the </w:t>
      </w:r>
      <w:r w:rsidR="00714A56">
        <w:rPr>
          <w:rFonts w:ascii="Tahoma" w:hAnsi="Tahoma" w:cs="Tahoma"/>
          <w:sz w:val="24"/>
          <w:szCs w:val="24"/>
        </w:rPr>
        <w:lastRenderedPageBreak/>
        <w:t>United Kingdom. Article 6(b) of the Convention provided that, in the determination of his civil rights and obligations on any criminal charge against a person, “everyone is entitled to a fair and public hearing within a reasonable time by an independent and impartial tribunal established by law”.</w:t>
      </w:r>
      <w:r w:rsidR="0087061F">
        <w:rPr>
          <w:rFonts w:ascii="Tahoma" w:hAnsi="Tahoma" w:cs="Tahoma"/>
          <w:sz w:val="24"/>
          <w:szCs w:val="24"/>
        </w:rPr>
        <w:t xml:space="preserve"> And third, the right against self-incrimination had been held to be one of the rights implied into article 6(1)</w:t>
      </w:r>
      <w:r w:rsidR="0087061F">
        <w:rPr>
          <w:rStyle w:val="FootnoteReference"/>
          <w:rFonts w:ascii="Tahoma" w:hAnsi="Tahoma" w:cs="Tahoma"/>
          <w:sz w:val="24"/>
          <w:szCs w:val="24"/>
        </w:rPr>
        <w:footnoteReference w:id="82"/>
      </w:r>
      <w:r w:rsidR="0087061F">
        <w:rPr>
          <w:rFonts w:ascii="Tahoma" w:hAnsi="Tahoma" w:cs="Tahoma"/>
          <w:sz w:val="24"/>
          <w:szCs w:val="24"/>
        </w:rPr>
        <w:t xml:space="preserve">. </w:t>
      </w:r>
    </w:p>
    <w:p w:rsidR="0087061F" w:rsidRDefault="0087061F" w:rsidP="0087061F">
      <w:pPr>
        <w:spacing w:after="0" w:line="240" w:lineRule="auto"/>
        <w:jc w:val="both"/>
        <w:rPr>
          <w:rFonts w:ascii="Tahoma" w:hAnsi="Tahoma" w:cs="Tahoma"/>
          <w:sz w:val="24"/>
          <w:szCs w:val="24"/>
        </w:rPr>
      </w:pPr>
    </w:p>
    <w:p w:rsidR="008A18E2" w:rsidRDefault="0087061F" w:rsidP="008A18E2">
      <w:pPr>
        <w:spacing w:after="100" w:line="480" w:lineRule="auto"/>
        <w:jc w:val="both"/>
        <w:rPr>
          <w:rFonts w:ascii="Tahoma" w:hAnsi="Tahoma" w:cs="Tahoma"/>
          <w:sz w:val="24"/>
          <w:szCs w:val="24"/>
        </w:rPr>
      </w:pPr>
      <w:r>
        <w:rPr>
          <w:rFonts w:ascii="Tahoma" w:hAnsi="Tahoma" w:cs="Tahoma"/>
          <w:sz w:val="24"/>
          <w:szCs w:val="24"/>
        </w:rPr>
        <w:t>4</w:t>
      </w:r>
      <w:r w:rsidR="0094522F">
        <w:rPr>
          <w:rFonts w:ascii="Tahoma" w:hAnsi="Tahoma" w:cs="Tahoma"/>
          <w:sz w:val="24"/>
          <w:szCs w:val="24"/>
        </w:rPr>
        <w:t>7</w:t>
      </w:r>
      <w:r>
        <w:rPr>
          <w:rFonts w:ascii="Tahoma" w:hAnsi="Tahoma" w:cs="Tahoma"/>
          <w:sz w:val="24"/>
          <w:szCs w:val="24"/>
        </w:rPr>
        <w:t>.</w:t>
      </w:r>
      <w:r w:rsidR="00527B70">
        <w:rPr>
          <w:rFonts w:ascii="Tahoma" w:hAnsi="Tahoma" w:cs="Tahoma"/>
          <w:sz w:val="24"/>
          <w:szCs w:val="24"/>
        </w:rPr>
        <w:t xml:space="preserve">   Against </w:t>
      </w:r>
      <w:r>
        <w:rPr>
          <w:rFonts w:ascii="Tahoma" w:hAnsi="Tahoma" w:cs="Tahoma"/>
          <w:sz w:val="24"/>
          <w:szCs w:val="24"/>
        </w:rPr>
        <w:t xml:space="preserve">this background, the House of Lords held </w:t>
      </w:r>
      <w:r w:rsidR="00527B70">
        <w:rPr>
          <w:rFonts w:ascii="Tahoma" w:hAnsi="Tahoma" w:cs="Tahoma"/>
          <w:sz w:val="24"/>
          <w:szCs w:val="24"/>
        </w:rPr>
        <w:t xml:space="preserve">in </w:t>
      </w:r>
      <w:proofErr w:type="spellStart"/>
      <w:r w:rsidR="00527B70" w:rsidRPr="00527B70">
        <w:rPr>
          <w:rFonts w:ascii="Tahoma" w:hAnsi="Tahoma" w:cs="Tahoma"/>
          <w:b/>
          <w:sz w:val="24"/>
          <w:szCs w:val="24"/>
        </w:rPr>
        <w:t>Mushtaq</w:t>
      </w:r>
      <w:proofErr w:type="spellEnd"/>
      <w:r w:rsidR="00527B70">
        <w:rPr>
          <w:rFonts w:ascii="Tahoma" w:hAnsi="Tahoma" w:cs="Tahoma"/>
          <w:sz w:val="24"/>
          <w:szCs w:val="24"/>
        </w:rPr>
        <w:t xml:space="preserve"> </w:t>
      </w:r>
      <w:r>
        <w:rPr>
          <w:rFonts w:ascii="Tahoma" w:hAnsi="Tahoma" w:cs="Tahoma"/>
          <w:sz w:val="24"/>
          <w:szCs w:val="24"/>
        </w:rPr>
        <w:t xml:space="preserve">that </w:t>
      </w:r>
      <w:r w:rsidR="006435B9">
        <w:rPr>
          <w:rFonts w:ascii="Tahoma" w:hAnsi="Tahoma" w:cs="Tahoma"/>
          <w:sz w:val="24"/>
          <w:szCs w:val="24"/>
        </w:rPr>
        <w:t xml:space="preserve">the logic of section 76(2) of PACE required that </w:t>
      </w:r>
      <w:r w:rsidR="006435B9" w:rsidRPr="006435B9">
        <w:rPr>
          <w:rFonts w:ascii="Tahoma" w:hAnsi="Tahoma" w:cs="Tahoma"/>
          <w:color w:val="222222"/>
          <w:sz w:val="24"/>
          <w:szCs w:val="24"/>
          <w:shd w:val="clear" w:color="auto" w:fill="FFFFFF"/>
        </w:rPr>
        <w:t xml:space="preserve">the jury should be directed that, if they considered that the confession was, or might have been, obtained by oppression or in consequence of anything said or done which was likely to render it unreliable, they should disregard it.  The rule against admitting an improperly obtained confession was based upon the principle that a man could not be compelled to incriminate himself and upon the importance that attached in a </w:t>
      </w:r>
      <w:proofErr w:type="spellStart"/>
      <w:r w:rsidR="006435B9" w:rsidRPr="006435B9">
        <w:rPr>
          <w:rFonts w:ascii="Tahoma" w:hAnsi="Tahoma" w:cs="Tahoma"/>
          <w:color w:val="222222"/>
          <w:sz w:val="24"/>
          <w:szCs w:val="24"/>
          <w:shd w:val="clear" w:color="auto" w:fill="FFFFFF"/>
        </w:rPr>
        <w:t>civilised</w:t>
      </w:r>
      <w:proofErr w:type="spellEnd"/>
      <w:r w:rsidR="006435B9" w:rsidRPr="006435B9">
        <w:rPr>
          <w:rFonts w:ascii="Tahoma" w:hAnsi="Tahoma" w:cs="Tahoma"/>
          <w:color w:val="222222"/>
          <w:sz w:val="24"/>
          <w:szCs w:val="24"/>
          <w:shd w:val="clear" w:color="auto" w:fill="FFFFFF"/>
        </w:rPr>
        <w:t xml:space="preserve"> society to proper </w:t>
      </w:r>
      <w:proofErr w:type="spellStart"/>
      <w:r w:rsidR="006435B9" w:rsidRPr="006435B9">
        <w:rPr>
          <w:rFonts w:ascii="Tahoma" w:hAnsi="Tahoma" w:cs="Tahoma"/>
          <w:color w:val="222222"/>
          <w:sz w:val="24"/>
          <w:szCs w:val="24"/>
          <w:shd w:val="clear" w:color="auto" w:fill="FFFFFF"/>
        </w:rPr>
        <w:t>behaviour</w:t>
      </w:r>
      <w:proofErr w:type="spellEnd"/>
      <w:r w:rsidR="006435B9" w:rsidRPr="006435B9">
        <w:rPr>
          <w:rFonts w:ascii="Tahoma" w:hAnsi="Tahoma" w:cs="Tahoma"/>
          <w:color w:val="222222"/>
          <w:sz w:val="24"/>
          <w:szCs w:val="24"/>
          <w:shd w:val="clear" w:color="auto" w:fill="FFFFFF"/>
        </w:rPr>
        <w:t xml:space="preserve"> by the police towards those in their custody, as well as upon the potential unreliability of such a confession.  Those three considerations lay behind s 76(2) and it was inconsistent with the purpose of that provision to affirm that the jury were entitled to rely on a confession where they considered that it was, or might have been, obtained by oppression or other improper means.</w:t>
      </w:r>
      <w:r w:rsidR="00714A56" w:rsidRPr="006435B9">
        <w:rPr>
          <w:rFonts w:ascii="Tahoma" w:hAnsi="Tahoma" w:cs="Tahoma"/>
          <w:sz w:val="24"/>
          <w:szCs w:val="24"/>
        </w:rPr>
        <w:t xml:space="preserve"> </w:t>
      </w:r>
      <w:r w:rsidR="00527B70" w:rsidRPr="00527B70">
        <w:rPr>
          <w:rFonts w:ascii="Tahoma" w:hAnsi="Tahoma" w:cs="Tahoma"/>
          <w:b/>
          <w:sz w:val="24"/>
          <w:szCs w:val="24"/>
        </w:rPr>
        <w:t>Chan Wei-Keung</w:t>
      </w:r>
      <w:r w:rsidR="00527B70">
        <w:rPr>
          <w:rFonts w:ascii="Tahoma" w:hAnsi="Tahoma" w:cs="Tahoma"/>
          <w:sz w:val="24"/>
          <w:szCs w:val="24"/>
        </w:rPr>
        <w:t xml:space="preserve"> was accordingly disapproved.</w:t>
      </w:r>
      <w:r w:rsidR="00714A56" w:rsidRPr="006435B9">
        <w:rPr>
          <w:rFonts w:ascii="Tahoma" w:hAnsi="Tahoma" w:cs="Tahoma"/>
          <w:sz w:val="24"/>
          <w:szCs w:val="24"/>
        </w:rPr>
        <w:t xml:space="preserve"> </w:t>
      </w:r>
    </w:p>
    <w:p w:rsidR="00F5405D" w:rsidRDefault="006435B9" w:rsidP="00F5405D">
      <w:pPr>
        <w:spacing w:before="100" w:beforeAutospacing="1" w:after="100" w:afterAutospacing="1" w:line="480" w:lineRule="auto"/>
        <w:jc w:val="both"/>
        <w:rPr>
          <w:rFonts w:ascii="Tahoma" w:hAnsi="Tahoma" w:cs="Tahoma"/>
          <w:sz w:val="24"/>
          <w:szCs w:val="24"/>
        </w:rPr>
      </w:pPr>
      <w:r w:rsidRPr="000E14D8">
        <w:rPr>
          <w:rFonts w:ascii="Tahoma" w:hAnsi="Tahoma" w:cs="Tahoma"/>
          <w:sz w:val="24"/>
          <w:szCs w:val="24"/>
        </w:rPr>
        <w:t>4</w:t>
      </w:r>
      <w:r w:rsidR="0094522F">
        <w:rPr>
          <w:rFonts w:ascii="Tahoma" w:hAnsi="Tahoma" w:cs="Tahoma"/>
          <w:sz w:val="24"/>
          <w:szCs w:val="24"/>
        </w:rPr>
        <w:t>8</w:t>
      </w:r>
      <w:r w:rsidRPr="000E14D8">
        <w:rPr>
          <w:rFonts w:ascii="Tahoma" w:hAnsi="Tahoma" w:cs="Tahoma"/>
          <w:sz w:val="24"/>
          <w:szCs w:val="24"/>
        </w:rPr>
        <w:t xml:space="preserve">.   Looked at one way, </w:t>
      </w:r>
      <w:proofErr w:type="spellStart"/>
      <w:r w:rsidRPr="000E14D8">
        <w:rPr>
          <w:rFonts w:ascii="Tahoma" w:hAnsi="Tahoma" w:cs="Tahoma"/>
          <w:b/>
          <w:sz w:val="24"/>
          <w:szCs w:val="24"/>
        </w:rPr>
        <w:t>Mushtaq</w:t>
      </w:r>
      <w:proofErr w:type="spellEnd"/>
      <w:r w:rsidRPr="000E14D8">
        <w:rPr>
          <w:rFonts w:ascii="Tahoma" w:hAnsi="Tahoma" w:cs="Tahoma"/>
          <w:sz w:val="24"/>
          <w:szCs w:val="24"/>
        </w:rPr>
        <w:t xml:space="preserve"> was therefore a decision based largely, if not entirely, on </w:t>
      </w:r>
      <w:r w:rsidR="000E14D8" w:rsidRPr="000E14D8">
        <w:rPr>
          <w:rFonts w:ascii="Tahoma" w:hAnsi="Tahoma" w:cs="Tahoma"/>
          <w:sz w:val="24"/>
          <w:szCs w:val="24"/>
        </w:rPr>
        <w:t xml:space="preserve">specific statutory provisions applicable to </w:t>
      </w:r>
      <w:r w:rsidR="00F5405D">
        <w:rPr>
          <w:rFonts w:ascii="Tahoma" w:hAnsi="Tahoma" w:cs="Tahoma"/>
          <w:sz w:val="24"/>
          <w:szCs w:val="24"/>
        </w:rPr>
        <w:t>England and Wales only</w:t>
      </w:r>
      <w:r w:rsidR="001D0162">
        <w:rPr>
          <w:rStyle w:val="FootnoteReference"/>
          <w:rFonts w:ascii="Tahoma" w:hAnsi="Tahoma" w:cs="Tahoma"/>
          <w:sz w:val="24"/>
          <w:szCs w:val="24"/>
        </w:rPr>
        <w:footnoteReference w:id="83"/>
      </w:r>
      <w:r w:rsidRPr="000E14D8">
        <w:rPr>
          <w:rFonts w:ascii="Tahoma" w:hAnsi="Tahoma" w:cs="Tahoma"/>
          <w:sz w:val="24"/>
          <w:szCs w:val="24"/>
        </w:rPr>
        <w:t>.</w:t>
      </w:r>
      <w:r w:rsidR="000E14D8" w:rsidRPr="000E14D8">
        <w:rPr>
          <w:rFonts w:ascii="Tahoma" w:hAnsi="Tahoma" w:cs="Tahoma"/>
          <w:sz w:val="24"/>
          <w:szCs w:val="24"/>
        </w:rPr>
        <w:t xml:space="preserve"> Which </w:t>
      </w:r>
      <w:r w:rsidR="000E14D8" w:rsidRPr="000E14D8">
        <w:rPr>
          <w:rFonts w:ascii="Tahoma" w:hAnsi="Tahoma" w:cs="Tahoma"/>
          <w:sz w:val="24"/>
          <w:szCs w:val="24"/>
        </w:rPr>
        <w:lastRenderedPageBreak/>
        <w:t xml:space="preserve">was precisely the argument made on behalf of the </w:t>
      </w:r>
      <w:r w:rsidR="00F5405D">
        <w:rPr>
          <w:rFonts w:ascii="Tahoma" w:hAnsi="Tahoma" w:cs="Tahoma"/>
          <w:sz w:val="24"/>
          <w:szCs w:val="24"/>
        </w:rPr>
        <w:t>prosecution</w:t>
      </w:r>
      <w:r w:rsidR="000E14D8" w:rsidRPr="000E14D8">
        <w:rPr>
          <w:rFonts w:ascii="Tahoma" w:hAnsi="Tahoma" w:cs="Tahoma"/>
          <w:sz w:val="24"/>
          <w:szCs w:val="24"/>
        </w:rPr>
        <w:t xml:space="preserve">, and decisively rejected by the Privy Council, in </w:t>
      </w:r>
      <w:proofErr w:type="spellStart"/>
      <w:r w:rsidR="000E14D8" w:rsidRPr="000E14D8">
        <w:rPr>
          <w:rFonts w:ascii="Tahoma" w:hAnsi="Tahoma" w:cs="Tahoma"/>
          <w:b/>
          <w:sz w:val="24"/>
          <w:szCs w:val="24"/>
        </w:rPr>
        <w:t>Wizzard</w:t>
      </w:r>
      <w:proofErr w:type="spellEnd"/>
      <w:r w:rsidR="000E14D8" w:rsidRPr="000E14D8">
        <w:rPr>
          <w:rFonts w:ascii="Tahoma" w:hAnsi="Tahoma" w:cs="Tahoma"/>
          <w:b/>
          <w:sz w:val="24"/>
          <w:szCs w:val="24"/>
        </w:rPr>
        <w:t xml:space="preserve"> v R</w:t>
      </w:r>
      <w:r w:rsidR="000E14D8" w:rsidRPr="000E14D8">
        <w:rPr>
          <w:rStyle w:val="FootnoteReference"/>
          <w:rFonts w:ascii="Tahoma" w:hAnsi="Tahoma" w:cs="Tahoma"/>
          <w:sz w:val="24"/>
          <w:szCs w:val="24"/>
        </w:rPr>
        <w:footnoteReference w:id="84"/>
      </w:r>
      <w:r w:rsidR="000E14D8" w:rsidRPr="000E14D8">
        <w:rPr>
          <w:rFonts w:ascii="Tahoma" w:hAnsi="Tahoma" w:cs="Tahoma"/>
          <w:sz w:val="24"/>
          <w:szCs w:val="24"/>
        </w:rPr>
        <w:t>, an appeal from the Court of Appeal of Jamaica</w:t>
      </w:r>
      <w:r w:rsidR="00F5405D">
        <w:rPr>
          <w:rFonts w:ascii="Tahoma" w:hAnsi="Tahoma" w:cs="Tahoma"/>
          <w:sz w:val="24"/>
          <w:szCs w:val="24"/>
        </w:rPr>
        <w:t>:</w:t>
      </w:r>
      <w:bookmarkStart w:id="26" w:name="para37"/>
    </w:p>
    <w:p w:rsidR="000E14D8" w:rsidRDefault="00F5405D" w:rsidP="00F5405D">
      <w:pPr>
        <w:spacing w:before="100" w:beforeAutospacing="1" w:after="100" w:afterAutospacing="1" w:line="240" w:lineRule="auto"/>
        <w:ind w:left="1440" w:right="1440"/>
        <w:jc w:val="both"/>
        <w:rPr>
          <w:rFonts w:ascii="Tahoma" w:eastAsia="Times New Roman" w:hAnsi="Tahoma" w:cs="Tahoma"/>
          <w:color w:val="000000"/>
          <w:sz w:val="24"/>
          <w:szCs w:val="24"/>
          <w:lang w:val="en-JM" w:eastAsia="en-JM"/>
        </w:rPr>
      </w:pPr>
      <w:r>
        <w:rPr>
          <w:rFonts w:ascii="Tahoma" w:hAnsi="Tahoma" w:cs="Tahoma"/>
          <w:sz w:val="24"/>
          <w:szCs w:val="24"/>
        </w:rPr>
        <w:t>”</w:t>
      </w:r>
      <w:r w:rsidR="000E14D8" w:rsidRPr="000E14D8">
        <w:rPr>
          <w:rFonts w:ascii="Tahoma" w:eastAsia="Times New Roman" w:hAnsi="Tahoma" w:cs="Tahoma"/>
          <w:color w:val="000000"/>
          <w:sz w:val="24"/>
          <w:szCs w:val="24"/>
          <w:lang w:val="en-JM" w:eastAsia="en-JM"/>
        </w:rPr>
        <w:t>Mr Guthrie</w:t>
      </w:r>
      <w:r>
        <w:rPr>
          <w:rFonts w:ascii="Tahoma" w:eastAsia="Times New Roman" w:hAnsi="Tahoma" w:cs="Tahoma"/>
          <w:color w:val="000000"/>
          <w:sz w:val="24"/>
          <w:szCs w:val="24"/>
          <w:lang w:val="en-JM" w:eastAsia="en-JM"/>
        </w:rPr>
        <w:t xml:space="preserve"> [for the prosecution]</w:t>
      </w:r>
      <w:r w:rsidR="000E14D8" w:rsidRPr="000E14D8">
        <w:rPr>
          <w:rFonts w:ascii="Tahoma" w:eastAsia="Times New Roman" w:hAnsi="Tahoma" w:cs="Tahoma"/>
          <w:color w:val="000000"/>
          <w:sz w:val="24"/>
          <w:szCs w:val="24"/>
          <w:lang w:val="en-JM" w:eastAsia="en-JM"/>
        </w:rPr>
        <w:t xml:space="preserve"> submitted that the position at common law was correctly stated in </w:t>
      </w:r>
      <w:r w:rsidR="000E14D8" w:rsidRPr="000E14D8">
        <w:rPr>
          <w:rFonts w:ascii="Tahoma" w:eastAsia="Times New Roman" w:hAnsi="Tahoma" w:cs="Tahoma"/>
          <w:i/>
          <w:iCs/>
          <w:color w:val="000000"/>
          <w:sz w:val="24"/>
          <w:szCs w:val="24"/>
          <w:lang w:val="en-JM" w:eastAsia="en-JM"/>
        </w:rPr>
        <w:t>Chan Wei Keung v The Queen. Mushtaq </w:t>
      </w:r>
      <w:r w:rsidR="000E14D8" w:rsidRPr="000E14D8">
        <w:rPr>
          <w:rFonts w:ascii="Tahoma" w:eastAsia="Times New Roman" w:hAnsi="Tahoma" w:cs="Tahoma"/>
          <w:color w:val="000000"/>
          <w:sz w:val="24"/>
          <w:szCs w:val="24"/>
          <w:lang w:val="en-JM" w:eastAsia="en-JM"/>
        </w:rPr>
        <w:t>was a departure from the common law consequent upon the effect, within the jurisdiction of England and Wales, of section 76 (2) of PACE and section 6 of the Human Rights Act. It followed that </w:t>
      </w:r>
      <w:r w:rsidR="000E14D8" w:rsidRPr="000E14D8">
        <w:rPr>
          <w:rFonts w:ascii="Tahoma" w:eastAsia="Times New Roman" w:hAnsi="Tahoma" w:cs="Tahoma"/>
          <w:i/>
          <w:iCs/>
          <w:color w:val="000000"/>
          <w:sz w:val="24"/>
          <w:szCs w:val="24"/>
          <w:lang w:val="en-JM" w:eastAsia="en-JM"/>
        </w:rPr>
        <w:t>Mushtaq </w:t>
      </w:r>
      <w:r w:rsidR="000E14D8" w:rsidRPr="000E14D8">
        <w:rPr>
          <w:rFonts w:ascii="Tahoma" w:eastAsia="Times New Roman" w:hAnsi="Tahoma" w:cs="Tahoma"/>
          <w:color w:val="000000"/>
          <w:sz w:val="24"/>
          <w:szCs w:val="24"/>
          <w:lang w:val="en-JM" w:eastAsia="en-JM"/>
        </w:rPr>
        <w:t>was not applicable in Jamaica. Their Lordships do not agree. The relevant principle derived both from section 76 (2) of PACE and article 6 of the ECHR is the principle against self-incrimination. That is a long recognised principle of the common law</w:t>
      </w:r>
      <w:r>
        <w:rPr>
          <w:rFonts w:ascii="Tahoma" w:eastAsia="Times New Roman" w:hAnsi="Tahoma" w:cs="Tahoma"/>
          <w:color w:val="000000"/>
          <w:sz w:val="24"/>
          <w:szCs w:val="24"/>
          <w:lang w:val="en-JM" w:eastAsia="en-JM"/>
        </w:rPr>
        <w:t>…</w:t>
      </w:r>
      <w:r w:rsidR="000E14D8" w:rsidRPr="000E14D8">
        <w:rPr>
          <w:rFonts w:ascii="Tahoma" w:eastAsia="Times New Roman" w:hAnsi="Tahoma" w:cs="Tahoma"/>
          <w:color w:val="000000"/>
          <w:sz w:val="24"/>
          <w:szCs w:val="24"/>
          <w:lang w:val="en-JM" w:eastAsia="en-JM"/>
        </w:rPr>
        <w:t>The approach in </w:t>
      </w:r>
      <w:r w:rsidR="000E14D8" w:rsidRPr="000E14D8">
        <w:rPr>
          <w:rFonts w:ascii="Tahoma" w:eastAsia="Times New Roman" w:hAnsi="Tahoma" w:cs="Tahoma"/>
          <w:i/>
          <w:iCs/>
          <w:color w:val="000000"/>
          <w:sz w:val="24"/>
          <w:szCs w:val="24"/>
          <w:lang w:val="en-JM" w:eastAsia="en-JM"/>
        </w:rPr>
        <w:t>Chan Wei Keung v The Queen</w:t>
      </w:r>
      <w:r w:rsidRPr="00F5405D">
        <w:rPr>
          <w:rFonts w:ascii="Tahoma" w:eastAsia="Times New Roman" w:hAnsi="Tahoma" w:cs="Tahoma"/>
          <w:iCs/>
          <w:color w:val="000000"/>
          <w:sz w:val="24"/>
          <w:szCs w:val="24"/>
          <w:lang w:val="en-JM" w:eastAsia="en-JM"/>
        </w:rPr>
        <w:t>…</w:t>
      </w:r>
      <w:r w:rsidR="000E14D8" w:rsidRPr="000E14D8">
        <w:rPr>
          <w:rFonts w:ascii="Tahoma" w:eastAsia="Times New Roman" w:hAnsi="Tahoma" w:cs="Tahoma"/>
          <w:color w:val="000000"/>
          <w:sz w:val="24"/>
          <w:szCs w:val="24"/>
          <w:lang w:val="en-JM" w:eastAsia="en-JM"/>
        </w:rPr>
        <w:t>was a false step in the development of the common law. </w:t>
      </w:r>
      <w:r w:rsidR="000E14D8" w:rsidRPr="000E14D8">
        <w:rPr>
          <w:rFonts w:ascii="Tahoma" w:eastAsia="Times New Roman" w:hAnsi="Tahoma" w:cs="Tahoma"/>
          <w:i/>
          <w:iCs/>
          <w:color w:val="000000"/>
          <w:sz w:val="24"/>
          <w:szCs w:val="24"/>
          <w:lang w:val="en-JM" w:eastAsia="en-JM"/>
        </w:rPr>
        <w:t>Mushtaq </w:t>
      </w:r>
      <w:r w:rsidR="000E14D8" w:rsidRPr="000E14D8">
        <w:rPr>
          <w:rFonts w:ascii="Tahoma" w:eastAsia="Times New Roman" w:hAnsi="Tahoma" w:cs="Tahoma"/>
          <w:color w:val="000000"/>
          <w:sz w:val="24"/>
          <w:szCs w:val="24"/>
          <w:lang w:val="en-JM" w:eastAsia="en-JM"/>
        </w:rPr>
        <w:t>has re-established the correct approach and is, in consequence, applicable in Jamaica.</w:t>
      </w:r>
      <w:bookmarkEnd w:id="26"/>
      <w:r>
        <w:rPr>
          <w:rFonts w:ascii="Tahoma" w:eastAsia="Times New Roman" w:hAnsi="Tahoma" w:cs="Tahoma"/>
          <w:color w:val="000000"/>
          <w:sz w:val="24"/>
          <w:szCs w:val="24"/>
          <w:lang w:val="en-JM" w:eastAsia="en-JM"/>
        </w:rPr>
        <w:t>”</w:t>
      </w:r>
    </w:p>
    <w:p w:rsidR="00AF1665" w:rsidRDefault="00AF1665" w:rsidP="00AF1665">
      <w:pPr>
        <w:spacing w:after="0" w:line="240" w:lineRule="auto"/>
        <w:jc w:val="both"/>
        <w:rPr>
          <w:rFonts w:ascii="Tahoma" w:eastAsia="Times New Roman" w:hAnsi="Tahoma" w:cs="Tahoma"/>
          <w:color w:val="000000"/>
          <w:sz w:val="24"/>
          <w:szCs w:val="24"/>
          <w:lang w:val="en-JM" w:eastAsia="en-JM"/>
        </w:rPr>
      </w:pPr>
    </w:p>
    <w:p w:rsidR="00AF1665" w:rsidRDefault="00F5405D" w:rsidP="00AF1665">
      <w:pPr>
        <w:spacing w:before="100" w:beforeAutospacing="1" w:after="100" w:afterAutospacing="1" w:line="480" w:lineRule="auto"/>
        <w:jc w:val="both"/>
        <w:rPr>
          <w:rFonts w:ascii="Tahoma" w:eastAsia="Times New Roman" w:hAnsi="Tahoma" w:cs="Tahoma"/>
          <w:color w:val="000000"/>
          <w:sz w:val="24"/>
          <w:szCs w:val="24"/>
          <w:lang w:val="en-JM" w:eastAsia="en-JM"/>
        </w:rPr>
      </w:pPr>
      <w:r w:rsidRPr="00AF1665">
        <w:rPr>
          <w:rFonts w:ascii="Tahoma" w:eastAsia="Times New Roman" w:hAnsi="Tahoma" w:cs="Tahoma"/>
          <w:color w:val="000000"/>
          <w:sz w:val="24"/>
          <w:szCs w:val="24"/>
          <w:lang w:val="en-JM" w:eastAsia="en-JM"/>
        </w:rPr>
        <w:t>4</w:t>
      </w:r>
      <w:r w:rsidR="0094522F">
        <w:rPr>
          <w:rFonts w:ascii="Tahoma" w:eastAsia="Times New Roman" w:hAnsi="Tahoma" w:cs="Tahoma"/>
          <w:color w:val="000000"/>
          <w:sz w:val="24"/>
          <w:szCs w:val="24"/>
          <w:lang w:val="en-JM" w:eastAsia="en-JM"/>
        </w:rPr>
        <w:t>9</w:t>
      </w:r>
      <w:r w:rsidRPr="00AF1665">
        <w:rPr>
          <w:rFonts w:ascii="Tahoma" w:eastAsia="Times New Roman" w:hAnsi="Tahoma" w:cs="Tahoma"/>
          <w:color w:val="000000"/>
          <w:sz w:val="24"/>
          <w:szCs w:val="24"/>
          <w:lang w:val="en-JM" w:eastAsia="en-JM"/>
        </w:rPr>
        <w:t>.   However,</w:t>
      </w:r>
      <w:r w:rsidR="00AF1665" w:rsidRPr="00AF1665">
        <w:rPr>
          <w:rFonts w:ascii="Tahoma" w:eastAsia="Times New Roman" w:hAnsi="Tahoma" w:cs="Tahoma"/>
          <w:color w:val="000000"/>
          <w:sz w:val="24"/>
          <w:szCs w:val="24"/>
          <w:lang w:val="en-JM" w:eastAsia="en-JM"/>
        </w:rPr>
        <w:t xml:space="preserve"> in </w:t>
      </w:r>
      <w:r w:rsidR="00AF1665" w:rsidRPr="00AF1665">
        <w:rPr>
          <w:rFonts w:ascii="Tahoma" w:eastAsia="Times New Roman" w:hAnsi="Tahoma" w:cs="Tahoma"/>
          <w:b/>
          <w:color w:val="000000"/>
          <w:sz w:val="24"/>
          <w:szCs w:val="24"/>
          <w:lang w:val="en-JM" w:eastAsia="en-JM"/>
        </w:rPr>
        <w:t>Wizzard</w:t>
      </w:r>
      <w:r w:rsidR="00AF1665" w:rsidRPr="00AF1665">
        <w:rPr>
          <w:rFonts w:ascii="Tahoma" w:eastAsia="Times New Roman" w:hAnsi="Tahoma" w:cs="Tahoma"/>
          <w:color w:val="000000"/>
          <w:sz w:val="24"/>
          <w:szCs w:val="24"/>
          <w:lang w:val="en-JM" w:eastAsia="en-JM"/>
        </w:rPr>
        <w:t xml:space="preserve">, the Board considered that there had been no need for </w:t>
      </w:r>
      <w:r w:rsidR="00AF1665" w:rsidRPr="00AF1665">
        <w:rPr>
          <w:rFonts w:ascii="Tahoma" w:eastAsia="Times New Roman" w:hAnsi="Tahoma" w:cs="Tahoma"/>
          <w:i/>
          <w:color w:val="000000"/>
          <w:sz w:val="24"/>
          <w:szCs w:val="24"/>
          <w:lang w:val="en-JM" w:eastAsia="en-JM"/>
        </w:rPr>
        <w:t>Mushtaq</w:t>
      </w:r>
      <w:r w:rsidR="00AF1665" w:rsidRPr="00AF1665">
        <w:rPr>
          <w:rFonts w:ascii="Tahoma" w:eastAsia="Times New Roman" w:hAnsi="Tahoma" w:cs="Tahoma"/>
          <w:color w:val="000000"/>
          <w:sz w:val="24"/>
          <w:szCs w:val="24"/>
          <w:lang w:val="en-JM" w:eastAsia="en-JM"/>
        </w:rPr>
        <w:t xml:space="preserve"> direction, since </w:t>
      </w:r>
      <w:bookmarkStart w:id="27" w:name="para35"/>
      <w:r w:rsidR="00AF1665" w:rsidRPr="00AF1665">
        <w:rPr>
          <w:rFonts w:ascii="Tahoma" w:eastAsia="Times New Roman" w:hAnsi="Tahoma" w:cs="Tahoma"/>
          <w:color w:val="000000"/>
          <w:sz w:val="24"/>
          <w:szCs w:val="24"/>
          <w:lang w:val="en-JM" w:eastAsia="en-JM"/>
        </w:rPr>
        <w:t>such a direction was only required where there was a possibility that the jury m</w:t>
      </w:r>
      <w:r w:rsidR="00AF1665">
        <w:rPr>
          <w:rFonts w:ascii="Tahoma" w:eastAsia="Times New Roman" w:hAnsi="Tahoma" w:cs="Tahoma"/>
          <w:color w:val="000000"/>
          <w:sz w:val="24"/>
          <w:szCs w:val="24"/>
          <w:lang w:val="en-JM" w:eastAsia="en-JM"/>
        </w:rPr>
        <w:t>ight</w:t>
      </w:r>
      <w:r w:rsidR="00AF1665" w:rsidRPr="00AF1665">
        <w:rPr>
          <w:rFonts w:ascii="Tahoma" w:eastAsia="Times New Roman" w:hAnsi="Tahoma" w:cs="Tahoma"/>
          <w:color w:val="000000"/>
          <w:sz w:val="24"/>
          <w:szCs w:val="24"/>
          <w:lang w:val="en-JM" w:eastAsia="en-JM"/>
        </w:rPr>
        <w:t xml:space="preserve"> conclude (i) that a statement was made by the defendant</w:t>
      </w:r>
      <w:r w:rsidR="00AF1665">
        <w:rPr>
          <w:rFonts w:ascii="Tahoma" w:eastAsia="Times New Roman" w:hAnsi="Tahoma" w:cs="Tahoma"/>
          <w:color w:val="000000"/>
          <w:sz w:val="24"/>
          <w:szCs w:val="24"/>
          <w:lang w:val="en-JM" w:eastAsia="en-JM"/>
        </w:rPr>
        <w:t>;</w:t>
      </w:r>
      <w:r w:rsidR="00AF1665" w:rsidRPr="00AF1665">
        <w:rPr>
          <w:rFonts w:ascii="Tahoma" w:eastAsia="Times New Roman" w:hAnsi="Tahoma" w:cs="Tahoma"/>
          <w:color w:val="000000"/>
          <w:sz w:val="24"/>
          <w:szCs w:val="24"/>
          <w:lang w:val="en-JM" w:eastAsia="en-JM"/>
        </w:rPr>
        <w:t xml:space="preserve"> (ii) the statement was true</w:t>
      </w:r>
      <w:r w:rsidR="00AF1665">
        <w:rPr>
          <w:rFonts w:ascii="Tahoma" w:eastAsia="Times New Roman" w:hAnsi="Tahoma" w:cs="Tahoma"/>
          <w:color w:val="000000"/>
          <w:sz w:val="24"/>
          <w:szCs w:val="24"/>
          <w:lang w:val="en-JM" w:eastAsia="en-JM"/>
        </w:rPr>
        <w:t>;</w:t>
      </w:r>
      <w:r w:rsidR="00AF1665" w:rsidRPr="00AF1665">
        <w:rPr>
          <w:rFonts w:ascii="Tahoma" w:eastAsia="Times New Roman" w:hAnsi="Tahoma" w:cs="Tahoma"/>
          <w:color w:val="000000"/>
          <w:sz w:val="24"/>
          <w:szCs w:val="24"/>
          <w:lang w:val="en-JM" w:eastAsia="en-JM"/>
        </w:rPr>
        <w:t xml:space="preserve"> but (iii) the statement was, or may have been, induced by oppression. In the present case, in which the issue raised by the appellant's statement from the dock was not whether his statement under caution had been induced by violence, but whether he had ever made that statement at all,</w:t>
      </w:r>
      <w:r w:rsidR="00AF1665">
        <w:rPr>
          <w:rFonts w:ascii="Tahoma" w:eastAsia="Times New Roman" w:hAnsi="Tahoma" w:cs="Tahoma"/>
          <w:color w:val="000000"/>
          <w:sz w:val="24"/>
          <w:szCs w:val="24"/>
          <w:lang w:val="en-JM" w:eastAsia="en-JM"/>
        </w:rPr>
        <w:t xml:space="preserve"> it was held that</w:t>
      </w:r>
      <w:r w:rsidR="00AF1665" w:rsidRPr="00AF1665">
        <w:rPr>
          <w:rFonts w:ascii="Tahoma" w:eastAsia="Times New Roman" w:hAnsi="Tahoma" w:cs="Tahoma"/>
          <w:color w:val="000000"/>
          <w:sz w:val="24"/>
          <w:szCs w:val="24"/>
          <w:lang w:val="en-JM" w:eastAsia="en-JM"/>
        </w:rPr>
        <w:t xml:space="preserve"> there was no basis upon which the jury could have reached these conclusions and there was </w:t>
      </w:r>
      <w:r w:rsidR="00AF1665">
        <w:rPr>
          <w:rFonts w:ascii="Tahoma" w:eastAsia="Times New Roman" w:hAnsi="Tahoma" w:cs="Tahoma"/>
          <w:color w:val="000000"/>
          <w:sz w:val="24"/>
          <w:szCs w:val="24"/>
          <w:lang w:val="en-JM" w:eastAsia="en-JM"/>
        </w:rPr>
        <w:t>therefore “</w:t>
      </w:r>
      <w:r w:rsidR="00AF1665" w:rsidRPr="00AF1665">
        <w:rPr>
          <w:rFonts w:ascii="Tahoma" w:eastAsia="Times New Roman" w:hAnsi="Tahoma" w:cs="Tahoma"/>
          <w:color w:val="000000"/>
          <w:sz w:val="24"/>
          <w:szCs w:val="24"/>
          <w:lang w:val="en-JM" w:eastAsia="en-JM"/>
        </w:rPr>
        <w:t xml:space="preserve">no need for the judge to give the jury a direction that </w:t>
      </w:r>
      <w:r w:rsidR="00AF1665" w:rsidRPr="00AF1665">
        <w:rPr>
          <w:rFonts w:ascii="Tahoma" w:eastAsia="Times New Roman" w:hAnsi="Tahoma" w:cs="Tahoma"/>
          <w:color w:val="000000"/>
          <w:sz w:val="24"/>
          <w:szCs w:val="24"/>
          <w:lang w:val="en-JM" w:eastAsia="en-JM"/>
        </w:rPr>
        <w:lastRenderedPageBreak/>
        <w:t>presupposed that the jury might conclude that the appellant had made the statement but had been induced to do so by violence</w:t>
      </w:r>
      <w:r w:rsidR="006928A9">
        <w:rPr>
          <w:rFonts w:ascii="Tahoma" w:eastAsia="Times New Roman" w:hAnsi="Tahoma" w:cs="Tahoma"/>
          <w:color w:val="000000"/>
          <w:sz w:val="24"/>
          <w:szCs w:val="24"/>
          <w:lang w:val="en-JM" w:eastAsia="en-JM"/>
        </w:rPr>
        <w:t>”</w:t>
      </w:r>
      <w:r w:rsidR="00AF1665">
        <w:rPr>
          <w:rStyle w:val="FootnoteReference"/>
          <w:rFonts w:ascii="Tahoma" w:eastAsia="Times New Roman" w:hAnsi="Tahoma" w:cs="Tahoma"/>
          <w:color w:val="000000"/>
          <w:sz w:val="24"/>
          <w:szCs w:val="24"/>
          <w:lang w:val="en-JM" w:eastAsia="en-JM"/>
        </w:rPr>
        <w:footnoteReference w:id="85"/>
      </w:r>
      <w:r w:rsidR="00AF1665" w:rsidRPr="00AF1665">
        <w:rPr>
          <w:rFonts w:ascii="Tahoma" w:eastAsia="Times New Roman" w:hAnsi="Tahoma" w:cs="Tahoma"/>
          <w:color w:val="000000"/>
          <w:sz w:val="24"/>
          <w:szCs w:val="24"/>
          <w:lang w:val="en-JM" w:eastAsia="en-JM"/>
        </w:rPr>
        <w:t>.</w:t>
      </w:r>
      <w:bookmarkEnd w:id="27"/>
    </w:p>
    <w:p w:rsidR="00871AFE" w:rsidRDefault="0094522F" w:rsidP="006928A9">
      <w:pPr>
        <w:spacing w:before="100" w:beforeAutospacing="1" w:after="100" w:afterAutospacing="1" w:line="480" w:lineRule="auto"/>
        <w:jc w:val="both"/>
        <w:rPr>
          <w:rFonts w:ascii="Tahoma" w:eastAsia="Times New Roman" w:hAnsi="Tahoma" w:cs="Tahoma"/>
          <w:bCs/>
          <w:color w:val="000000"/>
          <w:sz w:val="24"/>
          <w:szCs w:val="24"/>
          <w:lang w:val="en-JM" w:eastAsia="en-JM"/>
        </w:rPr>
      </w:pPr>
      <w:r>
        <w:rPr>
          <w:rFonts w:ascii="Tahoma" w:eastAsia="Times New Roman" w:hAnsi="Tahoma" w:cs="Tahoma"/>
          <w:color w:val="000000"/>
          <w:sz w:val="24"/>
          <w:szCs w:val="24"/>
          <w:lang w:val="en-JM" w:eastAsia="en-JM"/>
        </w:rPr>
        <w:t>50</w:t>
      </w:r>
      <w:r w:rsidR="006928A9" w:rsidRPr="006928A9">
        <w:rPr>
          <w:rFonts w:ascii="Tahoma" w:eastAsia="Times New Roman" w:hAnsi="Tahoma" w:cs="Tahoma"/>
          <w:color w:val="000000"/>
          <w:sz w:val="24"/>
          <w:szCs w:val="24"/>
          <w:lang w:val="en-JM" w:eastAsia="en-JM"/>
        </w:rPr>
        <w:t xml:space="preserve">.   Five years later, </w:t>
      </w:r>
      <w:r w:rsidR="006928A9" w:rsidRPr="006928A9">
        <w:rPr>
          <w:rFonts w:ascii="Tahoma" w:eastAsia="Times New Roman" w:hAnsi="Tahoma" w:cs="Tahoma"/>
          <w:b/>
          <w:color w:val="000000"/>
          <w:sz w:val="24"/>
          <w:szCs w:val="24"/>
          <w:lang w:val="en-JM" w:eastAsia="en-JM"/>
        </w:rPr>
        <w:t>Wizzard</w:t>
      </w:r>
      <w:r w:rsidR="006928A9" w:rsidRPr="006928A9">
        <w:rPr>
          <w:rFonts w:ascii="Tahoma" w:eastAsia="Times New Roman" w:hAnsi="Tahoma" w:cs="Tahoma"/>
          <w:color w:val="000000"/>
          <w:sz w:val="24"/>
          <w:szCs w:val="24"/>
          <w:lang w:val="en-JM" w:eastAsia="en-JM"/>
        </w:rPr>
        <w:t xml:space="preserve"> was revisited by the Board in </w:t>
      </w:r>
      <w:r w:rsidR="006928A9" w:rsidRPr="006928A9">
        <w:rPr>
          <w:rFonts w:ascii="Tahoma" w:eastAsia="Times New Roman" w:hAnsi="Tahoma" w:cs="Tahoma"/>
          <w:b/>
          <w:color w:val="000000"/>
          <w:sz w:val="24"/>
          <w:szCs w:val="24"/>
          <w:lang w:val="en-JM" w:eastAsia="en-JM"/>
        </w:rPr>
        <w:t>Benjamin &amp; Ganga v State of Trinidad &amp; Tobago</w:t>
      </w:r>
      <w:r w:rsidR="006928A9" w:rsidRPr="006928A9">
        <w:rPr>
          <w:rStyle w:val="FootnoteReference"/>
          <w:rFonts w:ascii="Tahoma" w:eastAsia="Times New Roman" w:hAnsi="Tahoma" w:cs="Tahoma"/>
          <w:color w:val="000000"/>
          <w:sz w:val="24"/>
          <w:szCs w:val="24"/>
          <w:lang w:val="en-JM" w:eastAsia="en-JM"/>
        </w:rPr>
        <w:footnoteReference w:id="86"/>
      </w:r>
      <w:r w:rsidR="001D0162" w:rsidRPr="001D0162">
        <w:rPr>
          <w:rFonts w:ascii="Tahoma" w:eastAsia="Times New Roman" w:hAnsi="Tahoma" w:cs="Tahoma"/>
          <w:color w:val="000000"/>
          <w:sz w:val="24"/>
          <w:szCs w:val="24"/>
          <w:lang w:val="en-JM" w:eastAsia="en-JM"/>
        </w:rPr>
        <w:t>. In that</w:t>
      </w:r>
      <w:r w:rsidR="006928A9" w:rsidRPr="006928A9">
        <w:rPr>
          <w:rFonts w:ascii="Tahoma" w:eastAsia="Times New Roman" w:hAnsi="Tahoma" w:cs="Tahoma"/>
          <w:color w:val="000000"/>
          <w:sz w:val="24"/>
          <w:szCs w:val="24"/>
          <w:lang w:val="en-JM" w:eastAsia="en-JM"/>
        </w:rPr>
        <w:t xml:space="preserve"> case, as in </w:t>
      </w:r>
      <w:r w:rsidR="006928A9" w:rsidRPr="006928A9">
        <w:rPr>
          <w:rFonts w:ascii="Tahoma" w:eastAsia="Times New Roman" w:hAnsi="Tahoma" w:cs="Tahoma"/>
          <w:b/>
          <w:color w:val="000000"/>
          <w:sz w:val="24"/>
          <w:szCs w:val="24"/>
          <w:lang w:val="en-JM" w:eastAsia="en-JM"/>
        </w:rPr>
        <w:t>Wizzard</w:t>
      </w:r>
      <w:r w:rsidR="006928A9" w:rsidRPr="006928A9">
        <w:rPr>
          <w:rFonts w:ascii="Tahoma" w:eastAsia="Times New Roman" w:hAnsi="Tahoma" w:cs="Tahoma"/>
          <w:color w:val="000000"/>
          <w:sz w:val="24"/>
          <w:szCs w:val="24"/>
          <w:lang w:val="en-JM" w:eastAsia="en-JM"/>
        </w:rPr>
        <w:t xml:space="preserve">, both appellants denied making the statements </w:t>
      </w:r>
      <w:r w:rsidR="00871AFE">
        <w:rPr>
          <w:rFonts w:ascii="Tahoma" w:eastAsia="Times New Roman" w:hAnsi="Tahoma" w:cs="Tahoma"/>
          <w:color w:val="000000"/>
          <w:sz w:val="24"/>
          <w:szCs w:val="24"/>
          <w:lang w:val="en-JM" w:eastAsia="en-JM"/>
        </w:rPr>
        <w:t xml:space="preserve">attributed to them by </w:t>
      </w:r>
      <w:r w:rsidR="006928A9" w:rsidRPr="006928A9">
        <w:rPr>
          <w:rFonts w:ascii="Tahoma" w:eastAsia="Times New Roman" w:hAnsi="Tahoma" w:cs="Tahoma"/>
          <w:color w:val="000000"/>
          <w:sz w:val="24"/>
          <w:szCs w:val="24"/>
          <w:lang w:val="en-JM" w:eastAsia="en-JM"/>
        </w:rPr>
        <w:t>the prosecution</w:t>
      </w:r>
      <w:r w:rsidR="001D0162">
        <w:rPr>
          <w:rFonts w:ascii="Tahoma" w:eastAsia="Times New Roman" w:hAnsi="Tahoma" w:cs="Tahoma"/>
          <w:color w:val="000000"/>
          <w:sz w:val="24"/>
          <w:szCs w:val="24"/>
          <w:lang w:val="en-JM" w:eastAsia="en-JM"/>
        </w:rPr>
        <w:t>. It was</w:t>
      </w:r>
      <w:r w:rsidR="006928A9">
        <w:rPr>
          <w:rFonts w:ascii="Tahoma" w:eastAsia="Times New Roman" w:hAnsi="Tahoma" w:cs="Tahoma"/>
          <w:color w:val="000000"/>
          <w:sz w:val="24"/>
          <w:szCs w:val="24"/>
          <w:lang w:val="en-JM" w:eastAsia="en-JM"/>
        </w:rPr>
        <w:t xml:space="preserve"> therefore submitted</w:t>
      </w:r>
      <w:r w:rsidR="006928A9">
        <w:rPr>
          <w:rFonts w:ascii="Tahoma" w:eastAsia="Times New Roman" w:hAnsi="Tahoma" w:cs="Tahoma"/>
          <w:bCs/>
          <w:color w:val="000000"/>
          <w:sz w:val="24"/>
          <w:szCs w:val="24"/>
          <w:lang w:val="en-JM" w:eastAsia="en-JM"/>
        </w:rPr>
        <w:t>, a</w:t>
      </w:r>
      <w:r w:rsidR="006928A9" w:rsidRPr="006928A9">
        <w:rPr>
          <w:rFonts w:ascii="Tahoma" w:eastAsia="Times New Roman" w:hAnsi="Tahoma" w:cs="Tahoma"/>
          <w:bCs/>
          <w:color w:val="000000"/>
          <w:sz w:val="24"/>
          <w:szCs w:val="24"/>
          <w:lang w:val="en-JM" w:eastAsia="en-JM"/>
        </w:rPr>
        <w:t>pplying the reasoning in </w:t>
      </w:r>
      <w:r w:rsidR="006928A9" w:rsidRPr="006928A9">
        <w:rPr>
          <w:rFonts w:ascii="Tahoma" w:eastAsia="Times New Roman" w:hAnsi="Tahoma" w:cs="Tahoma"/>
          <w:b/>
          <w:bCs/>
          <w:iCs/>
          <w:color w:val="000000"/>
          <w:sz w:val="24"/>
          <w:szCs w:val="24"/>
          <w:lang w:val="en-JM" w:eastAsia="en-JM"/>
        </w:rPr>
        <w:t>Wizzard</w:t>
      </w:r>
      <w:r w:rsidR="006928A9">
        <w:rPr>
          <w:rFonts w:ascii="Tahoma" w:eastAsia="Times New Roman" w:hAnsi="Tahoma" w:cs="Tahoma"/>
          <w:bCs/>
          <w:color w:val="000000"/>
          <w:sz w:val="24"/>
          <w:szCs w:val="24"/>
          <w:lang w:val="en-JM" w:eastAsia="en-JM"/>
        </w:rPr>
        <w:t>,</w:t>
      </w:r>
      <w:r w:rsidR="001D0162">
        <w:rPr>
          <w:rFonts w:ascii="Tahoma" w:eastAsia="Times New Roman" w:hAnsi="Tahoma" w:cs="Tahoma"/>
          <w:bCs/>
          <w:color w:val="000000"/>
          <w:sz w:val="24"/>
          <w:szCs w:val="24"/>
          <w:lang w:val="en-JM" w:eastAsia="en-JM"/>
        </w:rPr>
        <w:t xml:space="preserve"> that</w:t>
      </w:r>
      <w:r w:rsidR="006928A9">
        <w:rPr>
          <w:rFonts w:ascii="Tahoma" w:eastAsia="Times New Roman" w:hAnsi="Tahoma" w:cs="Tahoma"/>
          <w:bCs/>
          <w:color w:val="000000"/>
          <w:sz w:val="24"/>
          <w:szCs w:val="24"/>
          <w:lang w:val="en-JM" w:eastAsia="en-JM"/>
        </w:rPr>
        <w:t xml:space="preserve"> </w:t>
      </w:r>
      <w:r w:rsidR="006928A9" w:rsidRPr="006928A9">
        <w:rPr>
          <w:rFonts w:ascii="Tahoma" w:eastAsia="Times New Roman" w:hAnsi="Tahoma" w:cs="Tahoma"/>
          <w:bCs/>
          <w:color w:val="000000"/>
          <w:sz w:val="24"/>
          <w:szCs w:val="24"/>
          <w:lang w:val="en-JM" w:eastAsia="en-JM"/>
        </w:rPr>
        <w:t>no </w:t>
      </w:r>
      <w:r w:rsidR="006928A9" w:rsidRPr="006928A9">
        <w:rPr>
          <w:rFonts w:ascii="Tahoma" w:eastAsia="Times New Roman" w:hAnsi="Tahoma" w:cs="Tahoma"/>
          <w:bCs/>
          <w:i/>
          <w:iCs/>
          <w:color w:val="000000"/>
          <w:sz w:val="24"/>
          <w:szCs w:val="24"/>
          <w:lang w:val="en-JM" w:eastAsia="en-JM"/>
        </w:rPr>
        <w:t>Mushtaq </w:t>
      </w:r>
      <w:r w:rsidR="006928A9" w:rsidRPr="006928A9">
        <w:rPr>
          <w:rFonts w:ascii="Tahoma" w:eastAsia="Times New Roman" w:hAnsi="Tahoma" w:cs="Tahoma"/>
          <w:bCs/>
          <w:color w:val="000000"/>
          <w:sz w:val="24"/>
          <w:szCs w:val="24"/>
          <w:lang w:val="en-JM" w:eastAsia="en-JM"/>
        </w:rPr>
        <w:t>direction was needed. The Board d</w:t>
      </w:r>
      <w:r w:rsidR="006928A9">
        <w:rPr>
          <w:rFonts w:ascii="Tahoma" w:eastAsia="Times New Roman" w:hAnsi="Tahoma" w:cs="Tahoma"/>
          <w:bCs/>
          <w:color w:val="000000"/>
          <w:sz w:val="24"/>
          <w:szCs w:val="24"/>
          <w:lang w:val="en-JM" w:eastAsia="en-JM"/>
        </w:rPr>
        <w:t>eclined to</w:t>
      </w:r>
      <w:r w:rsidR="006928A9" w:rsidRPr="006928A9">
        <w:rPr>
          <w:rFonts w:ascii="Tahoma" w:eastAsia="Times New Roman" w:hAnsi="Tahoma" w:cs="Tahoma"/>
          <w:bCs/>
          <w:color w:val="000000"/>
          <w:sz w:val="24"/>
          <w:szCs w:val="24"/>
          <w:lang w:val="en-JM" w:eastAsia="en-JM"/>
        </w:rPr>
        <w:t xml:space="preserve"> accept this submission</w:t>
      </w:r>
      <w:r w:rsidR="00871AFE">
        <w:rPr>
          <w:rFonts w:ascii="Tahoma" w:eastAsia="Times New Roman" w:hAnsi="Tahoma" w:cs="Tahoma"/>
          <w:bCs/>
          <w:color w:val="000000"/>
          <w:sz w:val="24"/>
          <w:szCs w:val="24"/>
          <w:lang w:val="en-JM" w:eastAsia="en-JM"/>
        </w:rPr>
        <w:t>, for reasons explained by Lord Kerr</w:t>
      </w:r>
      <w:r w:rsidR="00871AFE">
        <w:rPr>
          <w:rStyle w:val="FootnoteReference"/>
          <w:rFonts w:ascii="Tahoma" w:eastAsia="Times New Roman" w:hAnsi="Tahoma" w:cs="Tahoma"/>
          <w:bCs/>
          <w:color w:val="000000"/>
          <w:sz w:val="24"/>
          <w:szCs w:val="24"/>
          <w:lang w:val="en-JM" w:eastAsia="en-JM"/>
        </w:rPr>
        <w:footnoteReference w:id="87"/>
      </w:r>
      <w:r w:rsidR="00871AFE">
        <w:rPr>
          <w:rFonts w:ascii="Tahoma" w:eastAsia="Times New Roman" w:hAnsi="Tahoma" w:cs="Tahoma"/>
          <w:bCs/>
          <w:color w:val="000000"/>
          <w:sz w:val="24"/>
          <w:szCs w:val="24"/>
          <w:lang w:val="en-JM" w:eastAsia="en-JM"/>
        </w:rPr>
        <w:t>:</w:t>
      </w:r>
    </w:p>
    <w:p w:rsidR="006928A9" w:rsidRPr="006928A9" w:rsidRDefault="00871AFE" w:rsidP="00871AFE">
      <w:pPr>
        <w:spacing w:before="100" w:beforeAutospacing="1" w:after="100" w:afterAutospacing="1" w:line="240" w:lineRule="auto"/>
        <w:ind w:left="1440" w:right="1440"/>
        <w:jc w:val="both"/>
        <w:rPr>
          <w:rFonts w:ascii="Tahoma" w:eastAsia="Times New Roman" w:hAnsi="Tahoma" w:cs="Tahoma"/>
          <w:bCs/>
          <w:color w:val="000000"/>
          <w:sz w:val="24"/>
          <w:szCs w:val="24"/>
          <w:lang w:val="en-JM" w:eastAsia="en-JM"/>
        </w:rPr>
      </w:pPr>
      <w:r>
        <w:rPr>
          <w:rFonts w:ascii="Tahoma" w:eastAsia="Times New Roman" w:hAnsi="Tahoma" w:cs="Tahoma"/>
          <w:bCs/>
          <w:color w:val="000000"/>
          <w:sz w:val="24"/>
          <w:szCs w:val="24"/>
          <w:lang w:val="en-JM" w:eastAsia="en-JM"/>
        </w:rPr>
        <w:t>“</w:t>
      </w:r>
      <w:r w:rsidR="006928A9" w:rsidRPr="006928A9">
        <w:rPr>
          <w:rFonts w:ascii="Tahoma" w:eastAsia="Times New Roman" w:hAnsi="Tahoma" w:cs="Tahoma"/>
          <w:bCs/>
          <w:color w:val="000000"/>
          <w:sz w:val="24"/>
          <w:szCs w:val="24"/>
          <w:lang w:val="en-JM" w:eastAsia="en-JM"/>
        </w:rPr>
        <w:t>It was clearly open to the jury to conclude that the appellants had made the statements attributed to them. After all, it was emphatically the prosecution's case that they had done so – indeed, had made the statements in the presence of justices of the peace. Likewise, it was open to the jury to find that the statements were true; this was again the prosecution's categorical case. Finally there was evidence on which the jury could have concluded that the appellants' signatures were appended to the statements as a result of oppression. All three conditions necessary to activate a </w:t>
      </w:r>
      <w:r w:rsidR="006928A9" w:rsidRPr="006928A9">
        <w:rPr>
          <w:rFonts w:ascii="Tahoma" w:eastAsia="Times New Roman" w:hAnsi="Tahoma" w:cs="Tahoma"/>
          <w:bCs/>
          <w:i/>
          <w:iCs/>
          <w:color w:val="000000"/>
          <w:sz w:val="24"/>
          <w:szCs w:val="24"/>
          <w:lang w:val="en-JM" w:eastAsia="en-JM"/>
        </w:rPr>
        <w:t>Mushtaq</w:t>
      </w:r>
      <w:r w:rsidR="006928A9" w:rsidRPr="006928A9">
        <w:rPr>
          <w:rFonts w:ascii="Tahoma" w:eastAsia="Times New Roman" w:hAnsi="Tahoma" w:cs="Tahoma"/>
          <w:bCs/>
          <w:color w:val="000000"/>
          <w:sz w:val="24"/>
          <w:szCs w:val="24"/>
          <w:lang w:val="en-JM" w:eastAsia="en-JM"/>
        </w:rPr>
        <w:t> direction were therefore present.</w:t>
      </w:r>
    </w:p>
    <w:p w:rsidR="006928A9" w:rsidRDefault="006928A9" w:rsidP="00871AFE">
      <w:pPr>
        <w:spacing w:before="100" w:beforeAutospacing="1" w:after="100" w:afterAutospacing="1" w:line="240" w:lineRule="auto"/>
        <w:ind w:left="1440" w:right="1440"/>
        <w:jc w:val="both"/>
        <w:rPr>
          <w:rFonts w:ascii="Tahoma" w:eastAsia="Times New Roman" w:hAnsi="Tahoma" w:cs="Tahoma"/>
          <w:bCs/>
          <w:color w:val="000000"/>
          <w:sz w:val="24"/>
          <w:szCs w:val="24"/>
          <w:lang w:val="en-JM" w:eastAsia="en-JM"/>
        </w:rPr>
      </w:pPr>
      <w:r w:rsidRPr="006928A9">
        <w:rPr>
          <w:rFonts w:ascii="Tahoma" w:eastAsia="Times New Roman" w:hAnsi="Tahoma" w:cs="Tahoma"/>
          <w:bCs/>
          <w:color w:val="000000"/>
          <w:sz w:val="24"/>
          <w:szCs w:val="24"/>
          <w:lang w:val="en-JM" w:eastAsia="en-JM"/>
        </w:rPr>
        <w:t>The Board in </w:t>
      </w:r>
      <w:r w:rsidRPr="006928A9">
        <w:rPr>
          <w:rFonts w:ascii="Tahoma" w:eastAsia="Times New Roman" w:hAnsi="Tahoma" w:cs="Tahoma"/>
          <w:bCs/>
          <w:i/>
          <w:iCs/>
          <w:color w:val="000000"/>
          <w:sz w:val="24"/>
          <w:szCs w:val="24"/>
          <w:lang w:val="en-JM" w:eastAsia="en-JM"/>
        </w:rPr>
        <w:t>Wizzard</w:t>
      </w:r>
      <w:r w:rsidRPr="006928A9">
        <w:rPr>
          <w:rFonts w:ascii="Tahoma" w:eastAsia="Times New Roman" w:hAnsi="Tahoma" w:cs="Tahoma"/>
          <w:bCs/>
          <w:color w:val="000000"/>
          <w:sz w:val="24"/>
          <w:szCs w:val="24"/>
          <w:lang w:val="en-JM" w:eastAsia="en-JM"/>
        </w:rPr>
        <w:t> considered that the fact that the appellant in that case had made an unsworn statement from the dock, denying that he had made the confession which the police claimed he did, meant that a </w:t>
      </w:r>
      <w:r w:rsidRPr="006928A9">
        <w:rPr>
          <w:rFonts w:ascii="Tahoma" w:eastAsia="Times New Roman" w:hAnsi="Tahoma" w:cs="Tahoma"/>
          <w:bCs/>
          <w:i/>
          <w:iCs/>
          <w:color w:val="000000"/>
          <w:sz w:val="24"/>
          <w:szCs w:val="24"/>
          <w:lang w:val="en-JM" w:eastAsia="en-JM"/>
        </w:rPr>
        <w:t>Mushtaq </w:t>
      </w:r>
      <w:r w:rsidRPr="006928A9">
        <w:rPr>
          <w:rFonts w:ascii="Tahoma" w:eastAsia="Times New Roman" w:hAnsi="Tahoma" w:cs="Tahoma"/>
          <w:bCs/>
          <w:color w:val="000000"/>
          <w:sz w:val="24"/>
          <w:szCs w:val="24"/>
          <w:lang w:val="en-JM" w:eastAsia="en-JM"/>
        </w:rPr>
        <w:t>direction was not required. It is, with respect, somewhat difficult to understand why this should be so. Simply because the appellant had denied making the statement, it does not follow that the jury could not find that he had done so.</w:t>
      </w:r>
      <w:r w:rsidR="00871AFE">
        <w:rPr>
          <w:rFonts w:ascii="Tahoma" w:eastAsia="Times New Roman" w:hAnsi="Tahoma" w:cs="Tahoma"/>
          <w:bCs/>
          <w:color w:val="000000"/>
          <w:sz w:val="24"/>
          <w:szCs w:val="24"/>
          <w:lang w:val="en-JM" w:eastAsia="en-JM"/>
        </w:rPr>
        <w:t>”</w:t>
      </w:r>
    </w:p>
    <w:p w:rsidR="00871AFE" w:rsidRDefault="00871AFE" w:rsidP="00421783">
      <w:pPr>
        <w:spacing w:after="0" w:line="240" w:lineRule="auto"/>
        <w:ind w:right="1440"/>
        <w:jc w:val="both"/>
        <w:rPr>
          <w:rFonts w:ascii="Tahoma" w:eastAsia="Times New Roman" w:hAnsi="Tahoma" w:cs="Tahoma"/>
          <w:bCs/>
          <w:color w:val="000000"/>
          <w:sz w:val="24"/>
          <w:szCs w:val="24"/>
          <w:lang w:val="en-JM" w:eastAsia="en-JM"/>
        </w:rPr>
      </w:pPr>
    </w:p>
    <w:p w:rsidR="00871AFE" w:rsidRDefault="0094522F" w:rsidP="00A132A3">
      <w:pPr>
        <w:spacing w:line="480" w:lineRule="auto"/>
        <w:jc w:val="both"/>
        <w:rPr>
          <w:rFonts w:ascii="Tahoma" w:hAnsi="Tahoma" w:cs="Tahoma"/>
          <w:sz w:val="24"/>
          <w:szCs w:val="24"/>
          <w:shd w:val="clear" w:color="auto" w:fill="FFFFFF"/>
        </w:rPr>
      </w:pPr>
      <w:r>
        <w:rPr>
          <w:rFonts w:ascii="Tahoma" w:eastAsia="Times New Roman" w:hAnsi="Tahoma" w:cs="Tahoma"/>
          <w:bCs/>
          <w:color w:val="000000"/>
          <w:sz w:val="24"/>
          <w:szCs w:val="24"/>
          <w:lang w:val="en-JM" w:eastAsia="en-JM"/>
        </w:rPr>
        <w:t>51</w:t>
      </w:r>
      <w:r w:rsidR="00871AFE">
        <w:rPr>
          <w:rFonts w:ascii="Tahoma" w:eastAsia="Times New Roman" w:hAnsi="Tahoma" w:cs="Tahoma"/>
          <w:bCs/>
          <w:color w:val="000000"/>
          <w:sz w:val="24"/>
          <w:szCs w:val="24"/>
          <w:lang w:val="en-JM" w:eastAsia="en-JM"/>
        </w:rPr>
        <w:t xml:space="preserve">.   </w:t>
      </w:r>
      <w:r w:rsidR="00871AFE" w:rsidRPr="00421783">
        <w:rPr>
          <w:rFonts w:ascii="Tahoma" w:eastAsia="Times New Roman" w:hAnsi="Tahoma" w:cs="Tahoma"/>
          <w:bCs/>
          <w:sz w:val="24"/>
          <w:szCs w:val="24"/>
          <w:lang w:val="en-JM" w:eastAsia="en-JM"/>
        </w:rPr>
        <w:t xml:space="preserve">These cases therefore establish that, as a matter of common law, </w:t>
      </w:r>
      <w:r w:rsidR="00A132A3" w:rsidRPr="00421783">
        <w:rPr>
          <w:rFonts w:ascii="Tahoma" w:eastAsia="Times New Roman" w:hAnsi="Tahoma" w:cs="Tahoma"/>
          <w:bCs/>
          <w:sz w:val="24"/>
          <w:szCs w:val="24"/>
          <w:lang w:val="en-JM" w:eastAsia="en-JM"/>
        </w:rPr>
        <w:t xml:space="preserve">in every case in which the prosecution relies on a statement allegedly made by the defendant, </w:t>
      </w:r>
      <w:r w:rsidR="00A132A3" w:rsidRPr="00421783">
        <w:rPr>
          <w:rFonts w:ascii="Tahoma" w:hAnsi="Tahoma" w:cs="Tahoma"/>
          <w:sz w:val="24"/>
          <w:szCs w:val="24"/>
          <w:shd w:val="clear" w:color="auto" w:fill="FFFFFF"/>
        </w:rPr>
        <w:t xml:space="preserve">the jury </w:t>
      </w:r>
      <w:r w:rsidR="00A132A3" w:rsidRPr="00421783">
        <w:rPr>
          <w:rFonts w:ascii="Tahoma" w:hAnsi="Tahoma" w:cs="Tahoma"/>
          <w:sz w:val="24"/>
          <w:szCs w:val="24"/>
          <w:shd w:val="clear" w:color="auto" w:fill="FFFFFF"/>
        </w:rPr>
        <w:lastRenderedPageBreak/>
        <w:t>should be directed that, if they consider that the confession was, or might have been, obtained by oppression or in consequence of anything said or done which was likely to render it unreliable, they should disregard it. </w:t>
      </w:r>
    </w:p>
    <w:p w:rsidR="00421783" w:rsidRDefault="00421783" w:rsidP="00A132A3">
      <w:pPr>
        <w:spacing w:line="480" w:lineRule="auto"/>
        <w:jc w:val="both"/>
        <w:rPr>
          <w:rFonts w:ascii="Tahoma" w:hAnsi="Tahoma" w:cs="Tahoma"/>
          <w:b/>
          <w:sz w:val="24"/>
          <w:szCs w:val="24"/>
          <w:shd w:val="clear" w:color="auto" w:fill="FFFFFF"/>
        </w:rPr>
      </w:pPr>
      <w:r w:rsidRPr="00421783">
        <w:rPr>
          <w:rFonts w:ascii="Tahoma" w:hAnsi="Tahoma" w:cs="Tahoma"/>
          <w:b/>
          <w:sz w:val="24"/>
          <w:szCs w:val="24"/>
          <w:shd w:val="clear" w:color="auto" w:fill="FFFFFF"/>
        </w:rPr>
        <w:t>The rule against hearsay</w:t>
      </w:r>
    </w:p>
    <w:p w:rsidR="00901873" w:rsidRDefault="0094522F" w:rsidP="00A132A3">
      <w:pPr>
        <w:spacing w:line="480" w:lineRule="auto"/>
        <w:jc w:val="both"/>
        <w:rPr>
          <w:rFonts w:ascii="Tahoma" w:hAnsi="Tahoma" w:cs="Tahoma"/>
          <w:sz w:val="24"/>
          <w:szCs w:val="24"/>
          <w:shd w:val="clear" w:color="auto" w:fill="FFFFFF"/>
        </w:rPr>
      </w:pPr>
      <w:r>
        <w:rPr>
          <w:rFonts w:ascii="Tahoma" w:hAnsi="Tahoma" w:cs="Tahoma"/>
          <w:sz w:val="24"/>
          <w:szCs w:val="24"/>
          <w:shd w:val="clear" w:color="auto" w:fill="FFFFFF"/>
        </w:rPr>
        <w:t>52</w:t>
      </w:r>
      <w:r w:rsidR="00421783" w:rsidRPr="00421783">
        <w:rPr>
          <w:rFonts w:ascii="Tahoma" w:hAnsi="Tahoma" w:cs="Tahoma"/>
          <w:sz w:val="24"/>
          <w:szCs w:val="24"/>
          <w:shd w:val="clear" w:color="auto" w:fill="FFFFFF"/>
        </w:rPr>
        <w:t>.</w:t>
      </w:r>
      <w:r w:rsidR="00421783">
        <w:rPr>
          <w:rFonts w:ascii="Tahoma" w:hAnsi="Tahoma" w:cs="Tahoma"/>
          <w:sz w:val="24"/>
          <w:szCs w:val="24"/>
          <w:shd w:val="clear" w:color="auto" w:fill="FFFFFF"/>
        </w:rPr>
        <w:t xml:space="preserve">   </w:t>
      </w:r>
      <w:r w:rsidR="005A565C">
        <w:rPr>
          <w:rFonts w:ascii="Tahoma" w:hAnsi="Tahoma" w:cs="Tahoma"/>
          <w:sz w:val="24"/>
          <w:szCs w:val="24"/>
          <w:shd w:val="clear" w:color="auto" w:fill="FFFFFF"/>
        </w:rPr>
        <w:t>Hearsay</w:t>
      </w:r>
      <w:r w:rsidR="00421783">
        <w:rPr>
          <w:rFonts w:ascii="Tahoma" w:hAnsi="Tahoma" w:cs="Tahoma"/>
          <w:sz w:val="24"/>
          <w:szCs w:val="24"/>
          <w:shd w:val="clear" w:color="auto" w:fill="FFFFFF"/>
        </w:rPr>
        <w:t xml:space="preserve"> is, </w:t>
      </w:r>
      <w:r w:rsidR="005A565C">
        <w:rPr>
          <w:rFonts w:ascii="Tahoma" w:hAnsi="Tahoma" w:cs="Tahoma"/>
          <w:sz w:val="24"/>
          <w:szCs w:val="24"/>
          <w:shd w:val="clear" w:color="auto" w:fill="FFFFFF"/>
        </w:rPr>
        <w:t>notoriously</w:t>
      </w:r>
      <w:r w:rsidR="00421783">
        <w:rPr>
          <w:rFonts w:ascii="Tahoma" w:hAnsi="Tahoma" w:cs="Tahoma"/>
          <w:sz w:val="24"/>
          <w:szCs w:val="24"/>
          <w:shd w:val="clear" w:color="auto" w:fill="FFFFFF"/>
        </w:rPr>
        <w:t xml:space="preserve">, an area of the law of evidence of great complexity. Perhaps more than any </w:t>
      </w:r>
      <w:r w:rsidR="00901873">
        <w:rPr>
          <w:rFonts w:ascii="Tahoma" w:hAnsi="Tahoma" w:cs="Tahoma"/>
          <w:sz w:val="24"/>
          <w:szCs w:val="24"/>
          <w:shd w:val="clear" w:color="auto" w:fill="FFFFFF"/>
        </w:rPr>
        <w:t xml:space="preserve">other </w:t>
      </w:r>
      <w:r w:rsidR="00421783">
        <w:rPr>
          <w:rFonts w:ascii="Tahoma" w:hAnsi="Tahoma" w:cs="Tahoma"/>
          <w:sz w:val="24"/>
          <w:szCs w:val="24"/>
          <w:shd w:val="clear" w:color="auto" w:fill="FFFFFF"/>
        </w:rPr>
        <w:t xml:space="preserve">area, it has been the subject of </w:t>
      </w:r>
      <w:r w:rsidR="00ED1EEE">
        <w:rPr>
          <w:rFonts w:ascii="Tahoma" w:hAnsi="Tahoma" w:cs="Tahoma"/>
          <w:sz w:val="24"/>
          <w:szCs w:val="24"/>
          <w:shd w:val="clear" w:color="auto" w:fill="FFFFFF"/>
        </w:rPr>
        <w:t xml:space="preserve">substantial and </w:t>
      </w:r>
      <w:r w:rsidR="00421783">
        <w:rPr>
          <w:rFonts w:ascii="Tahoma" w:hAnsi="Tahoma" w:cs="Tahoma"/>
          <w:sz w:val="24"/>
          <w:szCs w:val="24"/>
          <w:shd w:val="clear" w:color="auto" w:fill="FFFFFF"/>
        </w:rPr>
        <w:t>fairly continuous statutory reform in various jurisdictions over many years</w:t>
      </w:r>
      <w:r w:rsidR="001D0162">
        <w:rPr>
          <w:rStyle w:val="FootnoteReference"/>
          <w:rFonts w:ascii="Tahoma" w:hAnsi="Tahoma" w:cs="Tahoma"/>
          <w:sz w:val="24"/>
          <w:szCs w:val="24"/>
          <w:shd w:val="clear" w:color="auto" w:fill="FFFFFF"/>
        </w:rPr>
        <w:footnoteReference w:id="88"/>
      </w:r>
      <w:r w:rsidR="00421783">
        <w:rPr>
          <w:rFonts w:ascii="Tahoma" w:hAnsi="Tahoma" w:cs="Tahoma"/>
          <w:sz w:val="24"/>
          <w:szCs w:val="24"/>
          <w:shd w:val="clear" w:color="auto" w:fill="FFFFFF"/>
        </w:rPr>
        <w:t xml:space="preserve">. </w:t>
      </w:r>
      <w:r w:rsidR="00E116C5">
        <w:rPr>
          <w:rFonts w:ascii="Tahoma" w:hAnsi="Tahoma" w:cs="Tahoma"/>
          <w:sz w:val="24"/>
          <w:szCs w:val="24"/>
          <w:shd w:val="clear" w:color="auto" w:fill="FFFFFF"/>
        </w:rPr>
        <w:t xml:space="preserve">But, </w:t>
      </w:r>
      <w:r w:rsidR="00421783">
        <w:rPr>
          <w:rFonts w:ascii="Tahoma" w:hAnsi="Tahoma" w:cs="Tahoma"/>
          <w:sz w:val="24"/>
          <w:szCs w:val="24"/>
          <w:shd w:val="clear" w:color="auto" w:fill="FFFFFF"/>
        </w:rPr>
        <w:t>for present purposes</w:t>
      </w:r>
      <w:r w:rsidR="00E116C5">
        <w:rPr>
          <w:rFonts w:ascii="Tahoma" w:hAnsi="Tahoma" w:cs="Tahoma"/>
          <w:sz w:val="24"/>
          <w:szCs w:val="24"/>
          <w:shd w:val="clear" w:color="auto" w:fill="FFFFFF"/>
        </w:rPr>
        <w:t xml:space="preserve">, </w:t>
      </w:r>
      <w:r w:rsidR="00ED1EEE">
        <w:rPr>
          <w:rFonts w:ascii="Tahoma" w:hAnsi="Tahoma" w:cs="Tahoma"/>
          <w:sz w:val="24"/>
          <w:szCs w:val="24"/>
          <w:shd w:val="clear" w:color="auto" w:fill="FFFFFF"/>
        </w:rPr>
        <w:t xml:space="preserve">I </w:t>
      </w:r>
      <w:r w:rsidR="00574764">
        <w:rPr>
          <w:rFonts w:ascii="Tahoma" w:hAnsi="Tahoma" w:cs="Tahoma"/>
          <w:sz w:val="24"/>
          <w:szCs w:val="24"/>
          <w:shd w:val="clear" w:color="auto" w:fill="FFFFFF"/>
        </w:rPr>
        <w:t>propose to</w:t>
      </w:r>
      <w:r w:rsidR="00ED1EEE">
        <w:rPr>
          <w:rFonts w:ascii="Tahoma" w:hAnsi="Tahoma" w:cs="Tahoma"/>
          <w:sz w:val="24"/>
          <w:szCs w:val="24"/>
          <w:shd w:val="clear" w:color="auto" w:fill="FFFFFF"/>
        </w:rPr>
        <w:t xml:space="preserve"> consider</w:t>
      </w:r>
      <w:r w:rsidR="00E116C5">
        <w:rPr>
          <w:rFonts w:ascii="Tahoma" w:hAnsi="Tahoma" w:cs="Tahoma"/>
          <w:sz w:val="24"/>
          <w:szCs w:val="24"/>
          <w:shd w:val="clear" w:color="auto" w:fill="FFFFFF"/>
        </w:rPr>
        <w:t xml:space="preserve"> only </w:t>
      </w:r>
      <w:r w:rsidR="00421783">
        <w:rPr>
          <w:rFonts w:ascii="Tahoma" w:hAnsi="Tahoma" w:cs="Tahoma"/>
          <w:sz w:val="24"/>
          <w:szCs w:val="24"/>
          <w:shd w:val="clear" w:color="auto" w:fill="FFFFFF"/>
        </w:rPr>
        <w:t>one of its abiding mysteries</w:t>
      </w:r>
      <w:r w:rsidR="00901873">
        <w:rPr>
          <w:rFonts w:ascii="Tahoma" w:hAnsi="Tahoma" w:cs="Tahoma"/>
          <w:sz w:val="24"/>
          <w:szCs w:val="24"/>
          <w:shd w:val="clear" w:color="auto" w:fill="FFFFFF"/>
        </w:rPr>
        <w:t>. I refer to the distinction between hearsay evidence, which</w:t>
      </w:r>
      <w:r w:rsidR="00ED1EEE">
        <w:rPr>
          <w:rFonts w:ascii="Tahoma" w:hAnsi="Tahoma" w:cs="Tahoma"/>
          <w:sz w:val="24"/>
          <w:szCs w:val="24"/>
          <w:shd w:val="clear" w:color="auto" w:fill="FFFFFF"/>
        </w:rPr>
        <w:t xml:space="preserve"> </w:t>
      </w:r>
      <w:r w:rsidR="005A565C">
        <w:rPr>
          <w:rFonts w:ascii="Tahoma" w:hAnsi="Tahoma" w:cs="Tahoma"/>
          <w:sz w:val="24"/>
          <w:szCs w:val="24"/>
          <w:shd w:val="clear" w:color="auto" w:fill="FFFFFF"/>
        </w:rPr>
        <w:t>continues to</w:t>
      </w:r>
      <w:r w:rsidR="00ED1EEE">
        <w:rPr>
          <w:rFonts w:ascii="Tahoma" w:hAnsi="Tahoma" w:cs="Tahoma"/>
          <w:sz w:val="24"/>
          <w:szCs w:val="24"/>
          <w:shd w:val="clear" w:color="auto" w:fill="FFFFFF"/>
        </w:rPr>
        <w:t xml:space="preserve"> prove elusive to students, counsel - and sometimes judges - alike. </w:t>
      </w:r>
    </w:p>
    <w:p w:rsidR="00E84622" w:rsidRDefault="0080231C" w:rsidP="00A132A3">
      <w:pPr>
        <w:spacing w:line="480" w:lineRule="auto"/>
        <w:jc w:val="both"/>
        <w:rPr>
          <w:rFonts w:ascii="Tahoma" w:hAnsi="Tahoma" w:cs="Tahoma"/>
          <w:sz w:val="24"/>
          <w:szCs w:val="24"/>
          <w:shd w:val="clear" w:color="auto" w:fill="FFFFFF"/>
        </w:rPr>
      </w:pPr>
      <w:r>
        <w:rPr>
          <w:rFonts w:ascii="Tahoma" w:hAnsi="Tahoma" w:cs="Tahoma"/>
          <w:sz w:val="24"/>
          <w:szCs w:val="24"/>
          <w:shd w:val="clear" w:color="auto" w:fill="FFFFFF"/>
        </w:rPr>
        <w:t xml:space="preserve">53.   </w:t>
      </w:r>
      <w:r w:rsidR="00E84622">
        <w:rPr>
          <w:rFonts w:ascii="Tahoma" w:hAnsi="Tahoma" w:cs="Tahoma"/>
          <w:sz w:val="24"/>
          <w:szCs w:val="24"/>
          <w:shd w:val="clear" w:color="auto" w:fill="FFFFFF"/>
        </w:rPr>
        <w:t xml:space="preserve">Section 67(1) and (2) of the St Kitts &amp; Nevis Act </w:t>
      </w:r>
      <w:r w:rsidR="00856D30">
        <w:rPr>
          <w:rFonts w:ascii="Tahoma" w:hAnsi="Tahoma" w:cs="Tahoma"/>
          <w:sz w:val="24"/>
          <w:szCs w:val="24"/>
          <w:shd w:val="clear" w:color="auto" w:fill="FFFFFF"/>
        </w:rPr>
        <w:t xml:space="preserve">is generally reflective of the common law </w:t>
      </w:r>
      <w:r w:rsidR="00E84622">
        <w:rPr>
          <w:rFonts w:ascii="Tahoma" w:hAnsi="Tahoma" w:cs="Tahoma"/>
          <w:sz w:val="24"/>
          <w:szCs w:val="24"/>
          <w:shd w:val="clear" w:color="auto" w:fill="FFFFFF"/>
        </w:rPr>
        <w:t>distinction. Section 67(1) provides that “…evidence of a previous representation is not admissible to prove the existence of a fact that the person who made the representation intended to assert by the representation”. This is, in essence, the rule against hearsay. But section 67(2) provides that, “Where evidence of a previous representation is relevant otherwise than as mentioned in subsection (1), that subsection does not prevent the use of the evidence to prove the existence of an asserted fact.</w:t>
      </w:r>
      <w:r w:rsidR="00856D30">
        <w:rPr>
          <w:rFonts w:ascii="Tahoma" w:hAnsi="Tahoma" w:cs="Tahoma"/>
          <w:sz w:val="24"/>
          <w:szCs w:val="24"/>
          <w:shd w:val="clear" w:color="auto" w:fill="FFFFFF"/>
        </w:rPr>
        <w:t>” And this</w:t>
      </w:r>
      <w:r w:rsidR="00C42EE1">
        <w:rPr>
          <w:rFonts w:ascii="Tahoma" w:hAnsi="Tahoma" w:cs="Tahoma"/>
          <w:sz w:val="24"/>
          <w:szCs w:val="24"/>
          <w:shd w:val="clear" w:color="auto" w:fill="FFFFFF"/>
        </w:rPr>
        <w:t xml:space="preserve"> is</w:t>
      </w:r>
      <w:r w:rsidR="00856D30">
        <w:rPr>
          <w:rFonts w:ascii="Tahoma" w:hAnsi="Tahoma" w:cs="Tahoma"/>
          <w:sz w:val="24"/>
          <w:szCs w:val="24"/>
          <w:shd w:val="clear" w:color="auto" w:fill="FFFFFF"/>
        </w:rPr>
        <w:t xml:space="preserve">, in essence, the rule relating to original evidence. The distinction is important because, subject to various common law and statutory </w:t>
      </w:r>
      <w:r w:rsidR="00856D30">
        <w:rPr>
          <w:rFonts w:ascii="Tahoma" w:hAnsi="Tahoma" w:cs="Tahoma"/>
          <w:sz w:val="24"/>
          <w:szCs w:val="24"/>
          <w:shd w:val="clear" w:color="auto" w:fill="FFFFFF"/>
        </w:rPr>
        <w:lastRenderedPageBreak/>
        <w:t xml:space="preserve">exceptions, </w:t>
      </w:r>
      <w:r w:rsidR="00C42EE1">
        <w:rPr>
          <w:rFonts w:ascii="Tahoma" w:hAnsi="Tahoma" w:cs="Tahoma"/>
          <w:sz w:val="24"/>
          <w:szCs w:val="24"/>
          <w:shd w:val="clear" w:color="auto" w:fill="FFFFFF"/>
        </w:rPr>
        <w:t xml:space="preserve">hearsay evidence is </w:t>
      </w:r>
      <w:r w:rsidR="00856D30">
        <w:rPr>
          <w:rFonts w:ascii="Tahoma" w:hAnsi="Tahoma" w:cs="Tahoma"/>
          <w:sz w:val="24"/>
          <w:szCs w:val="24"/>
          <w:shd w:val="clear" w:color="auto" w:fill="FFFFFF"/>
        </w:rPr>
        <w:t xml:space="preserve">generally inadmissible; </w:t>
      </w:r>
      <w:r w:rsidR="00C42EE1">
        <w:rPr>
          <w:rFonts w:ascii="Tahoma" w:hAnsi="Tahoma" w:cs="Tahoma"/>
          <w:sz w:val="24"/>
          <w:szCs w:val="24"/>
          <w:shd w:val="clear" w:color="auto" w:fill="FFFFFF"/>
        </w:rPr>
        <w:t>while</w:t>
      </w:r>
      <w:r w:rsidR="00856D30">
        <w:rPr>
          <w:rFonts w:ascii="Tahoma" w:hAnsi="Tahoma" w:cs="Tahoma"/>
          <w:sz w:val="24"/>
          <w:szCs w:val="24"/>
          <w:shd w:val="clear" w:color="auto" w:fill="FFFFFF"/>
        </w:rPr>
        <w:t xml:space="preserve">, subject </w:t>
      </w:r>
      <w:r w:rsidR="00C42EE1">
        <w:rPr>
          <w:rFonts w:ascii="Tahoma" w:hAnsi="Tahoma" w:cs="Tahoma"/>
          <w:sz w:val="24"/>
          <w:szCs w:val="24"/>
          <w:shd w:val="clear" w:color="auto" w:fill="FFFFFF"/>
        </w:rPr>
        <w:t xml:space="preserve">only </w:t>
      </w:r>
      <w:r w:rsidR="00856D30">
        <w:rPr>
          <w:rFonts w:ascii="Tahoma" w:hAnsi="Tahoma" w:cs="Tahoma"/>
          <w:sz w:val="24"/>
          <w:szCs w:val="24"/>
          <w:shd w:val="clear" w:color="auto" w:fill="FFFFFF"/>
        </w:rPr>
        <w:t xml:space="preserve">to </w:t>
      </w:r>
      <w:r w:rsidR="00C42EE1">
        <w:rPr>
          <w:rFonts w:ascii="Tahoma" w:hAnsi="Tahoma" w:cs="Tahoma"/>
          <w:sz w:val="24"/>
          <w:szCs w:val="24"/>
          <w:shd w:val="clear" w:color="auto" w:fill="FFFFFF"/>
        </w:rPr>
        <w:t xml:space="preserve">the </w:t>
      </w:r>
      <w:r w:rsidR="00856D30">
        <w:rPr>
          <w:rFonts w:ascii="Tahoma" w:hAnsi="Tahoma" w:cs="Tahoma"/>
          <w:sz w:val="24"/>
          <w:szCs w:val="24"/>
          <w:shd w:val="clear" w:color="auto" w:fill="FFFFFF"/>
        </w:rPr>
        <w:t xml:space="preserve">question of relevance, </w:t>
      </w:r>
      <w:r w:rsidR="00C42EE1">
        <w:rPr>
          <w:rFonts w:ascii="Tahoma" w:hAnsi="Tahoma" w:cs="Tahoma"/>
          <w:sz w:val="24"/>
          <w:szCs w:val="24"/>
          <w:shd w:val="clear" w:color="auto" w:fill="FFFFFF"/>
        </w:rPr>
        <w:t xml:space="preserve">original evidence is </w:t>
      </w:r>
      <w:r w:rsidR="00856D30">
        <w:rPr>
          <w:rFonts w:ascii="Tahoma" w:hAnsi="Tahoma" w:cs="Tahoma"/>
          <w:sz w:val="24"/>
          <w:szCs w:val="24"/>
          <w:shd w:val="clear" w:color="auto" w:fill="FFFFFF"/>
        </w:rPr>
        <w:t>generally admissible</w:t>
      </w:r>
      <w:r w:rsidR="00C42EE1">
        <w:rPr>
          <w:rFonts w:ascii="Tahoma" w:hAnsi="Tahoma" w:cs="Tahoma"/>
          <w:sz w:val="24"/>
          <w:szCs w:val="24"/>
          <w:shd w:val="clear" w:color="auto" w:fill="FFFFFF"/>
        </w:rPr>
        <w:t>.</w:t>
      </w:r>
    </w:p>
    <w:p w:rsidR="00A87E80" w:rsidRDefault="00C42EE1" w:rsidP="00A132A3">
      <w:pPr>
        <w:spacing w:line="480" w:lineRule="auto"/>
        <w:jc w:val="both"/>
        <w:rPr>
          <w:rFonts w:ascii="Tahoma" w:hAnsi="Tahoma" w:cs="Tahoma"/>
          <w:sz w:val="24"/>
          <w:szCs w:val="24"/>
          <w:shd w:val="clear" w:color="auto" w:fill="FFFFFF"/>
        </w:rPr>
      </w:pPr>
      <w:r>
        <w:rPr>
          <w:rFonts w:ascii="Tahoma" w:hAnsi="Tahoma" w:cs="Tahoma"/>
          <w:sz w:val="24"/>
          <w:szCs w:val="24"/>
          <w:shd w:val="clear" w:color="auto" w:fill="FFFFFF"/>
        </w:rPr>
        <w:t xml:space="preserve">54.   Perhaps the best known – certainly the most cited – example of the </w:t>
      </w:r>
      <w:r w:rsidR="00A87E80">
        <w:rPr>
          <w:rFonts w:ascii="Tahoma" w:hAnsi="Tahoma" w:cs="Tahoma"/>
          <w:sz w:val="24"/>
          <w:szCs w:val="24"/>
          <w:shd w:val="clear" w:color="auto" w:fill="FFFFFF"/>
        </w:rPr>
        <w:t>distinction</w:t>
      </w:r>
      <w:r>
        <w:rPr>
          <w:rFonts w:ascii="Tahoma" w:hAnsi="Tahoma" w:cs="Tahoma"/>
          <w:sz w:val="24"/>
          <w:szCs w:val="24"/>
          <w:shd w:val="clear" w:color="auto" w:fill="FFFFFF"/>
        </w:rPr>
        <w:t xml:space="preserve"> in action is provided by the decision of the Privy Council</w:t>
      </w:r>
      <w:r w:rsidR="00001DC5">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in </w:t>
      </w:r>
      <w:proofErr w:type="spellStart"/>
      <w:r w:rsidRPr="00A87E80">
        <w:rPr>
          <w:rFonts w:ascii="Tahoma" w:hAnsi="Tahoma" w:cs="Tahoma"/>
          <w:b/>
          <w:sz w:val="24"/>
          <w:szCs w:val="24"/>
          <w:shd w:val="clear" w:color="auto" w:fill="FFFFFF"/>
        </w:rPr>
        <w:t>Subramaniam</w:t>
      </w:r>
      <w:proofErr w:type="spellEnd"/>
      <w:r w:rsidRPr="00A87E80">
        <w:rPr>
          <w:rFonts w:ascii="Tahoma" w:hAnsi="Tahoma" w:cs="Tahoma"/>
          <w:b/>
          <w:sz w:val="24"/>
          <w:szCs w:val="24"/>
          <w:shd w:val="clear" w:color="auto" w:fill="FFFFFF"/>
        </w:rPr>
        <w:t xml:space="preserve"> v Public Prosecutor</w:t>
      </w:r>
      <w:r>
        <w:rPr>
          <w:rStyle w:val="FootnoteReference"/>
          <w:rFonts w:ascii="Tahoma" w:hAnsi="Tahoma" w:cs="Tahoma"/>
          <w:sz w:val="24"/>
          <w:szCs w:val="24"/>
          <w:shd w:val="clear" w:color="auto" w:fill="FFFFFF"/>
        </w:rPr>
        <w:footnoteReference w:id="89"/>
      </w:r>
      <w:r w:rsidR="00A87E80" w:rsidRPr="00A87E80">
        <w:rPr>
          <w:rFonts w:ascii="Tahoma" w:hAnsi="Tahoma" w:cs="Tahoma"/>
          <w:sz w:val="24"/>
          <w:szCs w:val="24"/>
          <w:shd w:val="clear" w:color="auto" w:fill="FFFFFF"/>
        </w:rPr>
        <w:t>.</w:t>
      </w:r>
      <w:r w:rsidR="00A87E80">
        <w:rPr>
          <w:rFonts w:ascii="Tahoma" w:hAnsi="Tahoma" w:cs="Tahoma"/>
          <w:b/>
          <w:sz w:val="24"/>
          <w:szCs w:val="24"/>
          <w:shd w:val="clear" w:color="auto" w:fill="FFFFFF"/>
        </w:rPr>
        <w:t xml:space="preserve"> </w:t>
      </w:r>
      <w:r w:rsidR="00A87E80" w:rsidRPr="00A87E80">
        <w:rPr>
          <w:rFonts w:ascii="Tahoma" w:hAnsi="Tahoma" w:cs="Tahoma"/>
          <w:sz w:val="24"/>
          <w:szCs w:val="24"/>
          <w:shd w:val="clear" w:color="auto" w:fill="FFFFFF"/>
        </w:rPr>
        <w:t>The appellant in that case</w:t>
      </w:r>
      <w:r w:rsidR="00A87E80">
        <w:rPr>
          <w:rFonts w:ascii="Tahoma" w:hAnsi="Tahoma" w:cs="Tahoma"/>
          <w:b/>
          <w:sz w:val="24"/>
          <w:szCs w:val="24"/>
          <w:shd w:val="clear" w:color="auto" w:fill="FFFFFF"/>
        </w:rPr>
        <w:t xml:space="preserve"> </w:t>
      </w:r>
      <w:r w:rsidR="00A87E80" w:rsidRPr="00A87E80">
        <w:rPr>
          <w:rFonts w:ascii="Tahoma" w:hAnsi="Tahoma" w:cs="Tahoma"/>
          <w:sz w:val="24"/>
          <w:szCs w:val="24"/>
          <w:shd w:val="clear" w:color="auto" w:fill="FFFFFF"/>
        </w:rPr>
        <w:t xml:space="preserve">was convicted of being in unlawful possession of ammunition. Although his </w:t>
      </w:r>
      <w:proofErr w:type="spellStart"/>
      <w:r w:rsidR="00A87E80" w:rsidRPr="00A87E80">
        <w:rPr>
          <w:rFonts w:ascii="Tahoma" w:hAnsi="Tahoma" w:cs="Tahoma"/>
          <w:sz w:val="24"/>
          <w:szCs w:val="24"/>
          <w:shd w:val="clear" w:color="auto" w:fill="FFFFFF"/>
        </w:rPr>
        <w:t>defence</w:t>
      </w:r>
      <w:proofErr w:type="spellEnd"/>
      <w:r w:rsidR="00A87E80" w:rsidRPr="00A87E80">
        <w:rPr>
          <w:rFonts w:ascii="Tahoma" w:hAnsi="Tahoma" w:cs="Tahoma"/>
          <w:sz w:val="24"/>
          <w:szCs w:val="24"/>
          <w:shd w:val="clear" w:color="auto" w:fill="FFFFFF"/>
        </w:rPr>
        <w:t xml:space="preserve"> was that he had</w:t>
      </w:r>
      <w:r w:rsidR="0066047B">
        <w:rPr>
          <w:rFonts w:ascii="Tahoma" w:hAnsi="Tahoma" w:cs="Tahoma"/>
          <w:sz w:val="24"/>
          <w:szCs w:val="24"/>
          <w:shd w:val="clear" w:color="auto" w:fill="FFFFFF"/>
        </w:rPr>
        <w:t xml:space="preserve"> acted under duress of threats uttered by </w:t>
      </w:r>
      <w:r w:rsidR="00A87E80" w:rsidRPr="00A87E80">
        <w:rPr>
          <w:rFonts w:ascii="Tahoma" w:hAnsi="Tahoma" w:cs="Tahoma"/>
          <w:sz w:val="24"/>
          <w:szCs w:val="24"/>
          <w:shd w:val="clear" w:color="auto" w:fill="FFFFFF"/>
        </w:rPr>
        <w:t xml:space="preserve">terrorists, </w:t>
      </w:r>
      <w:r w:rsidR="0066047B">
        <w:rPr>
          <w:rFonts w:ascii="Tahoma" w:hAnsi="Tahoma" w:cs="Tahoma"/>
          <w:sz w:val="24"/>
          <w:szCs w:val="24"/>
          <w:shd w:val="clear" w:color="auto" w:fill="FFFFFF"/>
        </w:rPr>
        <w:t>the trial judge refused to allow him to say</w:t>
      </w:r>
      <w:r w:rsidR="00A87E80" w:rsidRPr="00A87E80">
        <w:rPr>
          <w:rFonts w:ascii="Tahoma" w:hAnsi="Tahoma" w:cs="Tahoma"/>
          <w:sz w:val="24"/>
          <w:szCs w:val="24"/>
          <w:shd w:val="clear" w:color="auto" w:fill="FFFFFF"/>
        </w:rPr>
        <w:t xml:space="preserve"> what the terrorists had said to him</w:t>
      </w:r>
      <w:r w:rsidR="0066047B">
        <w:rPr>
          <w:rFonts w:ascii="Tahoma" w:hAnsi="Tahoma" w:cs="Tahoma"/>
          <w:sz w:val="24"/>
          <w:szCs w:val="24"/>
          <w:shd w:val="clear" w:color="auto" w:fill="FFFFFF"/>
        </w:rPr>
        <w:t xml:space="preserve">, on the ground that it was </w:t>
      </w:r>
      <w:r w:rsidR="00A87E80" w:rsidRPr="00A87E80">
        <w:rPr>
          <w:rFonts w:ascii="Tahoma" w:hAnsi="Tahoma" w:cs="Tahoma"/>
          <w:sz w:val="24"/>
          <w:szCs w:val="24"/>
          <w:shd w:val="clear" w:color="auto" w:fill="FFFFFF"/>
        </w:rPr>
        <w:t>inadmissible hearsay. His conviction was quashed by the Privy Council, which stated as follows</w:t>
      </w:r>
      <w:r w:rsidR="00A87E80">
        <w:rPr>
          <w:rStyle w:val="FootnoteReference"/>
          <w:rFonts w:ascii="Tahoma" w:hAnsi="Tahoma" w:cs="Tahoma"/>
          <w:sz w:val="24"/>
          <w:szCs w:val="24"/>
          <w:shd w:val="clear" w:color="auto" w:fill="FFFFFF"/>
        </w:rPr>
        <w:footnoteReference w:id="90"/>
      </w:r>
      <w:r w:rsidR="00A87E80" w:rsidRPr="00A87E80">
        <w:rPr>
          <w:rFonts w:ascii="Tahoma" w:hAnsi="Tahoma" w:cs="Tahoma"/>
          <w:sz w:val="24"/>
          <w:szCs w:val="24"/>
          <w:shd w:val="clear" w:color="auto" w:fill="FFFFFF"/>
        </w:rPr>
        <w:t xml:space="preserve">:  </w:t>
      </w:r>
      <w:r w:rsidRPr="00A87E80">
        <w:rPr>
          <w:rFonts w:ascii="Tahoma" w:hAnsi="Tahoma" w:cs="Tahoma"/>
          <w:sz w:val="24"/>
          <w:szCs w:val="24"/>
          <w:shd w:val="clear" w:color="auto" w:fill="FFFFFF"/>
        </w:rPr>
        <w:t xml:space="preserve"> </w:t>
      </w:r>
    </w:p>
    <w:p w:rsidR="00C42EE1" w:rsidRPr="00A87E80" w:rsidRDefault="00A87E80" w:rsidP="0066047B">
      <w:pPr>
        <w:spacing w:line="240" w:lineRule="auto"/>
        <w:ind w:left="1440" w:right="1440"/>
        <w:jc w:val="both"/>
        <w:rPr>
          <w:rFonts w:ascii="Tahoma" w:hAnsi="Tahoma" w:cs="Tahoma"/>
          <w:sz w:val="24"/>
          <w:szCs w:val="24"/>
          <w:shd w:val="clear" w:color="auto" w:fill="FFFFFF"/>
        </w:rPr>
      </w:pPr>
      <w:r>
        <w:rPr>
          <w:rFonts w:ascii="Tahoma" w:hAnsi="Tahoma" w:cs="Tahoma"/>
          <w:sz w:val="24"/>
          <w:szCs w:val="24"/>
          <w:shd w:val="clear" w:color="auto" w:fill="FFFFFF"/>
        </w:rPr>
        <w:t>“Evidence of a statement made to a witness who is not himself called as a witness may or may not be hearsay. It is hearsay and inadmissible when the object of the evidence is to establish the truth of what is contained in the statement. It is not hearsay and is admissible when it is proposed to establish by the evidence, not the truth of the statement, but the fact that it was made.”</w:t>
      </w:r>
      <w:r w:rsidR="00C42EE1" w:rsidRPr="00A87E80">
        <w:rPr>
          <w:rFonts w:ascii="Tahoma" w:hAnsi="Tahoma" w:cs="Tahoma"/>
          <w:sz w:val="24"/>
          <w:szCs w:val="24"/>
          <w:shd w:val="clear" w:color="auto" w:fill="FFFFFF"/>
        </w:rPr>
        <w:t xml:space="preserve"> </w:t>
      </w:r>
    </w:p>
    <w:p w:rsidR="00856D30" w:rsidRDefault="00856D30" w:rsidP="0066047B">
      <w:pPr>
        <w:spacing w:after="0" w:line="240" w:lineRule="auto"/>
        <w:jc w:val="both"/>
        <w:rPr>
          <w:rFonts w:ascii="Tahoma" w:hAnsi="Tahoma" w:cs="Tahoma"/>
          <w:sz w:val="24"/>
          <w:szCs w:val="24"/>
          <w:shd w:val="clear" w:color="auto" w:fill="FFFFFF"/>
        </w:rPr>
      </w:pPr>
    </w:p>
    <w:p w:rsidR="00E84622" w:rsidRDefault="0066047B" w:rsidP="00A132A3">
      <w:pPr>
        <w:spacing w:line="480" w:lineRule="auto"/>
        <w:jc w:val="both"/>
        <w:rPr>
          <w:rFonts w:ascii="Tahoma" w:hAnsi="Tahoma" w:cs="Tahoma"/>
          <w:sz w:val="24"/>
          <w:szCs w:val="24"/>
          <w:shd w:val="clear" w:color="auto" w:fill="FFFFFF"/>
        </w:rPr>
      </w:pPr>
      <w:r>
        <w:rPr>
          <w:rFonts w:ascii="Tahoma" w:hAnsi="Tahoma" w:cs="Tahoma"/>
          <w:sz w:val="24"/>
          <w:szCs w:val="24"/>
          <w:shd w:val="clear" w:color="auto" w:fill="FFFFFF"/>
        </w:rPr>
        <w:t xml:space="preserve">55.   </w:t>
      </w:r>
      <w:r w:rsidR="00E54D1A">
        <w:rPr>
          <w:rFonts w:ascii="Tahoma" w:hAnsi="Tahoma" w:cs="Tahoma"/>
          <w:sz w:val="24"/>
          <w:szCs w:val="24"/>
          <w:shd w:val="clear" w:color="auto" w:fill="FFFFFF"/>
        </w:rPr>
        <w:t xml:space="preserve">Accordingly, </w:t>
      </w:r>
      <w:r>
        <w:rPr>
          <w:rFonts w:ascii="Tahoma" w:hAnsi="Tahoma" w:cs="Tahoma"/>
          <w:sz w:val="24"/>
          <w:szCs w:val="24"/>
          <w:shd w:val="clear" w:color="auto" w:fill="FFFFFF"/>
        </w:rPr>
        <w:t xml:space="preserve">if the making of a statement is either itself a fact in issue, or is relevant to some other fact in issue in the proceedings, then </w:t>
      </w:r>
      <w:r w:rsidR="00E54D1A">
        <w:rPr>
          <w:rFonts w:ascii="Tahoma" w:hAnsi="Tahoma" w:cs="Tahoma"/>
          <w:sz w:val="24"/>
          <w:szCs w:val="24"/>
          <w:shd w:val="clear" w:color="auto" w:fill="FFFFFF"/>
        </w:rPr>
        <w:t>the statement may be admitted as evidence of the fact that it was made</w:t>
      </w:r>
      <w:r w:rsidR="00E54D1A">
        <w:rPr>
          <w:rStyle w:val="FootnoteReference"/>
          <w:rFonts w:ascii="Tahoma" w:hAnsi="Tahoma" w:cs="Tahoma"/>
          <w:sz w:val="24"/>
          <w:szCs w:val="24"/>
          <w:shd w:val="clear" w:color="auto" w:fill="FFFFFF"/>
        </w:rPr>
        <w:footnoteReference w:id="91"/>
      </w:r>
      <w:r w:rsidR="00E54D1A">
        <w:rPr>
          <w:rFonts w:ascii="Tahoma" w:hAnsi="Tahoma" w:cs="Tahoma"/>
          <w:sz w:val="24"/>
          <w:szCs w:val="24"/>
          <w:shd w:val="clear" w:color="auto" w:fill="FFFFFF"/>
        </w:rPr>
        <w:t xml:space="preserve">. Thus, in </w:t>
      </w:r>
      <w:r w:rsidR="00E54D1A" w:rsidRPr="00E54D1A">
        <w:rPr>
          <w:rFonts w:ascii="Tahoma" w:hAnsi="Tahoma" w:cs="Tahoma"/>
          <w:b/>
          <w:sz w:val="24"/>
          <w:szCs w:val="24"/>
          <w:shd w:val="clear" w:color="auto" w:fill="FFFFFF"/>
        </w:rPr>
        <w:t>R v Chapman</w:t>
      </w:r>
      <w:r w:rsidR="00E54D1A">
        <w:rPr>
          <w:rStyle w:val="FootnoteReference"/>
          <w:rFonts w:ascii="Tahoma" w:hAnsi="Tahoma" w:cs="Tahoma"/>
          <w:sz w:val="24"/>
          <w:szCs w:val="24"/>
          <w:shd w:val="clear" w:color="auto" w:fill="FFFFFF"/>
        </w:rPr>
        <w:footnoteReference w:id="92"/>
      </w:r>
      <w:r w:rsidR="00E54D1A">
        <w:rPr>
          <w:rFonts w:ascii="Tahoma" w:hAnsi="Tahoma" w:cs="Tahoma"/>
          <w:sz w:val="24"/>
          <w:szCs w:val="24"/>
          <w:shd w:val="clear" w:color="auto" w:fill="FFFFFF"/>
        </w:rPr>
        <w:t xml:space="preserve">, for example, </w:t>
      </w:r>
      <w:r w:rsidR="002767BE">
        <w:rPr>
          <w:rFonts w:ascii="Tahoma" w:hAnsi="Tahoma" w:cs="Tahoma"/>
          <w:sz w:val="24"/>
          <w:szCs w:val="24"/>
          <w:shd w:val="clear" w:color="auto" w:fill="FFFFFF"/>
        </w:rPr>
        <w:t xml:space="preserve">following a road traffic accident, </w:t>
      </w:r>
      <w:r w:rsidR="00E54D1A">
        <w:rPr>
          <w:rFonts w:ascii="Tahoma" w:hAnsi="Tahoma" w:cs="Tahoma"/>
          <w:sz w:val="24"/>
          <w:szCs w:val="24"/>
          <w:shd w:val="clear" w:color="auto" w:fill="FFFFFF"/>
        </w:rPr>
        <w:t xml:space="preserve">the defendant was taken to a hospital </w:t>
      </w:r>
      <w:r w:rsidR="002767BE">
        <w:rPr>
          <w:rFonts w:ascii="Tahoma" w:hAnsi="Tahoma" w:cs="Tahoma"/>
          <w:sz w:val="24"/>
          <w:szCs w:val="24"/>
          <w:shd w:val="clear" w:color="auto" w:fill="FFFFFF"/>
        </w:rPr>
        <w:t>where a breat</w:t>
      </w:r>
      <w:r w:rsidR="00E54D1A">
        <w:rPr>
          <w:rFonts w:ascii="Tahoma" w:hAnsi="Tahoma" w:cs="Tahoma"/>
          <w:sz w:val="24"/>
          <w:szCs w:val="24"/>
          <w:shd w:val="clear" w:color="auto" w:fill="FFFFFF"/>
        </w:rPr>
        <w:t>h test</w:t>
      </w:r>
      <w:r w:rsidR="002767BE">
        <w:rPr>
          <w:rFonts w:ascii="Tahoma" w:hAnsi="Tahoma" w:cs="Tahoma"/>
          <w:sz w:val="24"/>
          <w:szCs w:val="24"/>
          <w:shd w:val="clear" w:color="auto" w:fill="FFFFFF"/>
        </w:rPr>
        <w:t xml:space="preserve"> was</w:t>
      </w:r>
      <w:r w:rsidR="00E54D1A">
        <w:rPr>
          <w:rFonts w:ascii="Tahoma" w:hAnsi="Tahoma" w:cs="Tahoma"/>
          <w:sz w:val="24"/>
          <w:szCs w:val="24"/>
          <w:shd w:val="clear" w:color="auto" w:fill="FFFFFF"/>
        </w:rPr>
        <w:t xml:space="preserve"> administered.</w:t>
      </w:r>
      <w:r w:rsidR="002767BE">
        <w:rPr>
          <w:rFonts w:ascii="Tahoma" w:hAnsi="Tahoma" w:cs="Tahoma"/>
          <w:sz w:val="24"/>
          <w:szCs w:val="24"/>
          <w:shd w:val="clear" w:color="auto" w:fill="FFFFFF"/>
        </w:rPr>
        <w:t xml:space="preserve"> Under the relevant legislation, a hospital patient was </w:t>
      </w:r>
      <w:r w:rsidR="002767BE">
        <w:rPr>
          <w:rFonts w:ascii="Tahoma" w:hAnsi="Tahoma" w:cs="Tahoma"/>
          <w:sz w:val="24"/>
          <w:szCs w:val="24"/>
          <w:shd w:val="clear" w:color="auto" w:fill="FFFFFF"/>
        </w:rPr>
        <w:lastRenderedPageBreak/>
        <w:t xml:space="preserve">not required to provide a specimen of breath if the doctor in charge objected on the grounds that it would be prejudicial to the proper care and treatment of the patient. At the trial, a police officer gave evidence that the doctor in question had not objected to the provision of a specimen by the defendant, who was subsequently convicted of driving a motor vehicle with excess alcohol. </w:t>
      </w:r>
      <w:r w:rsidR="003807B5">
        <w:rPr>
          <w:rFonts w:ascii="Tahoma" w:hAnsi="Tahoma" w:cs="Tahoma"/>
          <w:sz w:val="24"/>
          <w:szCs w:val="24"/>
          <w:shd w:val="clear" w:color="auto" w:fill="FFFFFF"/>
        </w:rPr>
        <w:t xml:space="preserve">On appeal, his argument that the police officer’s evidence was inadmissible hearsay was rejected, the Court of Appeal holding that the evidence had been properly received to establish that the doctor had made no objection. </w:t>
      </w:r>
    </w:p>
    <w:p w:rsidR="003807B5" w:rsidRDefault="003807B5" w:rsidP="00A132A3">
      <w:pPr>
        <w:spacing w:line="480" w:lineRule="auto"/>
        <w:jc w:val="both"/>
        <w:rPr>
          <w:rFonts w:ascii="Tahoma" w:hAnsi="Tahoma" w:cs="Tahoma"/>
          <w:sz w:val="24"/>
          <w:szCs w:val="24"/>
          <w:shd w:val="clear" w:color="auto" w:fill="FFFFFF"/>
        </w:rPr>
      </w:pPr>
      <w:r>
        <w:rPr>
          <w:rFonts w:ascii="Tahoma" w:hAnsi="Tahoma" w:cs="Tahoma"/>
          <w:sz w:val="24"/>
          <w:szCs w:val="24"/>
          <w:shd w:val="clear" w:color="auto" w:fill="FFFFFF"/>
        </w:rPr>
        <w:t xml:space="preserve">56.   And then, </w:t>
      </w:r>
      <w:r w:rsidRPr="00063B44">
        <w:rPr>
          <w:rFonts w:ascii="Tahoma" w:hAnsi="Tahoma" w:cs="Tahoma"/>
          <w:sz w:val="24"/>
          <w:szCs w:val="24"/>
          <w:shd w:val="clear" w:color="auto" w:fill="FFFFFF"/>
        </w:rPr>
        <w:t>in</w:t>
      </w:r>
      <w:r w:rsidRPr="003807B5">
        <w:rPr>
          <w:rFonts w:ascii="Tahoma" w:hAnsi="Tahoma" w:cs="Tahoma"/>
          <w:b/>
          <w:sz w:val="24"/>
          <w:szCs w:val="24"/>
          <w:shd w:val="clear" w:color="auto" w:fill="FFFFFF"/>
        </w:rPr>
        <w:t xml:space="preserve"> Woodhouse v Hall</w:t>
      </w:r>
      <w:r>
        <w:rPr>
          <w:rStyle w:val="FootnoteReference"/>
          <w:rFonts w:ascii="Tahoma" w:hAnsi="Tahoma" w:cs="Tahoma"/>
          <w:sz w:val="24"/>
          <w:szCs w:val="24"/>
          <w:shd w:val="clear" w:color="auto" w:fill="FFFFFF"/>
        </w:rPr>
        <w:footnoteReference w:id="93"/>
      </w:r>
      <w:r>
        <w:rPr>
          <w:rFonts w:ascii="Tahoma" w:hAnsi="Tahoma" w:cs="Tahoma"/>
          <w:sz w:val="24"/>
          <w:szCs w:val="24"/>
          <w:shd w:val="clear" w:color="auto" w:fill="FFFFFF"/>
        </w:rPr>
        <w:t>, the defendant, who was the manageress of a sauna and</w:t>
      </w:r>
      <w:r w:rsidR="00A03F37">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massage </w:t>
      </w:r>
      <w:proofErr w:type="spellStart"/>
      <w:proofErr w:type="gramStart"/>
      <w:r>
        <w:rPr>
          <w:rFonts w:ascii="Tahoma" w:hAnsi="Tahoma" w:cs="Tahoma"/>
          <w:sz w:val="24"/>
          <w:szCs w:val="24"/>
          <w:shd w:val="clear" w:color="auto" w:fill="FFFFFF"/>
        </w:rPr>
        <w:t>parlour</w:t>
      </w:r>
      <w:proofErr w:type="spellEnd"/>
      <w:proofErr w:type="gramEnd"/>
      <w:r>
        <w:rPr>
          <w:rFonts w:ascii="Tahoma" w:hAnsi="Tahoma" w:cs="Tahoma"/>
          <w:sz w:val="24"/>
          <w:szCs w:val="24"/>
          <w:shd w:val="clear" w:color="auto" w:fill="FFFFFF"/>
        </w:rPr>
        <w:t xml:space="preserve"> was charged with acting in the management of a brothel. </w:t>
      </w:r>
      <w:r w:rsidR="00063B44">
        <w:rPr>
          <w:rFonts w:ascii="Tahoma" w:hAnsi="Tahoma" w:cs="Tahoma"/>
          <w:sz w:val="24"/>
          <w:szCs w:val="24"/>
          <w:shd w:val="clear" w:color="auto" w:fill="FFFFFF"/>
        </w:rPr>
        <w:t>T</w:t>
      </w:r>
      <w:r>
        <w:rPr>
          <w:rFonts w:ascii="Tahoma" w:hAnsi="Tahoma" w:cs="Tahoma"/>
          <w:sz w:val="24"/>
          <w:szCs w:val="24"/>
          <w:shd w:val="clear" w:color="auto" w:fill="FFFFFF"/>
        </w:rPr>
        <w:t xml:space="preserve">he evidence of plain clothes policemen, who had entered the premises </w:t>
      </w:r>
      <w:r w:rsidR="00001DC5">
        <w:rPr>
          <w:rFonts w:ascii="Tahoma" w:hAnsi="Tahoma" w:cs="Tahoma"/>
          <w:sz w:val="24"/>
          <w:szCs w:val="24"/>
          <w:shd w:val="clear" w:color="auto" w:fill="FFFFFF"/>
        </w:rPr>
        <w:t xml:space="preserve">ostensibly </w:t>
      </w:r>
      <w:r>
        <w:rPr>
          <w:rFonts w:ascii="Tahoma" w:hAnsi="Tahoma" w:cs="Tahoma"/>
          <w:sz w:val="24"/>
          <w:szCs w:val="24"/>
          <w:shd w:val="clear" w:color="auto" w:fill="FFFFFF"/>
        </w:rPr>
        <w:t xml:space="preserve">as customers, that </w:t>
      </w:r>
      <w:r w:rsidR="00063B44">
        <w:rPr>
          <w:rFonts w:ascii="Tahoma" w:hAnsi="Tahoma" w:cs="Tahoma"/>
          <w:sz w:val="24"/>
          <w:szCs w:val="24"/>
          <w:shd w:val="clear" w:color="auto" w:fill="FFFFFF"/>
        </w:rPr>
        <w:t>they had been offered sexual services by the manageress and other women employed at the establishment, was held to be admissible. Donaldson LJ considered</w:t>
      </w:r>
      <w:r w:rsidR="00063B44">
        <w:rPr>
          <w:rStyle w:val="FootnoteReference"/>
          <w:rFonts w:ascii="Tahoma" w:hAnsi="Tahoma" w:cs="Tahoma"/>
          <w:sz w:val="24"/>
          <w:szCs w:val="24"/>
          <w:shd w:val="clear" w:color="auto" w:fill="FFFFFF"/>
        </w:rPr>
        <w:footnoteReference w:id="94"/>
      </w:r>
      <w:r w:rsidR="00063B44">
        <w:rPr>
          <w:rFonts w:ascii="Tahoma" w:hAnsi="Tahoma" w:cs="Tahoma"/>
          <w:sz w:val="24"/>
          <w:szCs w:val="24"/>
          <w:shd w:val="clear" w:color="auto" w:fill="FFFFFF"/>
        </w:rPr>
        <w:t xml:space="preserve"> that the hearsay rule did not arise at all: “The relevant issue was did these ladies make these offers?” </w:t>
      </w:r>
    </w:p>
    <w:p w:rsidR="00A03F37" w:rsidRDefault="00A03F37" w:rsidP="0027275A">
      <w:pPr>
        <w:spacing w:line="480" w:lineRule="auto"/>
        <w:jc w:val="both"/>
        <w:rPr>
          <w:rFonts w:ascii="Tahoma" w:hAnsi="Tahoma" w:cs="Tahoma"/>
          <w:sz w:val="24"/>
          <w:szCs w:val="24"/>
          <w:shd w:val="clear" w:color="auto" w:fill="FFFFFF"/>
        </w:rPr>
      </w:pPr>
      <w:r>
        <w:rPr>
          <w:rFonts w:ascii="Tahoma" w:hAnsi="Tahoma" w:cs="Tahoma"/>
          <w:sz w:val="24"/>
          <w:szCs w:val="24"/>
          <w:shd w:val="clear" w:color="auto" w:fill="FFFFFF"/>
        </w:rPr>
        <w:t>57.   The distinction between hearsay and original evidence was also applied in the recent decision of the C</w:t>
      </w:r>
      <w:r w:rsidR="002E17E9">
        <w:rPr>
          <w:rFonts w:ascii="Tahoma" w:hAnsi="Tahoma" w:cs="Tahoma"/>
          <w:sz w:val="24"/>
          <w:szCs w:val="24"/>
          <w:shd w:val="clear" w:color="auto" w:fill="FFFFFF"/>
        </w:rPr>
        <w:t>CJ</w:t>
      </w:r>
      <w:r>
        <w:rPr>
          <w:rFonts w:ascii="Tahoma" w:hAnsi="Tahoma" w:cs="Tahoma"/>
          <w:sz w:val="24"/>
          <w:szCs w:val="24"/>
          <w:shd w:val="clear" w:color="auto" w:fill="FFFFFF"/>
        </w:rPr>
        <w:t xml:space="preserve"> in </w:t>
      </w:r>
      <w:r w:rsidRPr="00A03F37">
        <w:rPr>
          <w:rFonts w:ascii="Tahoma" w:hAnsi="Tahoma" w:cs="Tahoma"/>
          <w:b/>
          <w:sz w:val="24"/>
          <w:szCs w:val="24"/>
          <w:shd w:val="clear" w:color="auto" w:fill="FFFFFF"/>
        </w:rPr>
        <w:t xml:space="preserve">Ganga </w:t>
      </w:r>
      <w:proofErr w:type="spellStart"/>
      <w:r w:rsidRPr="00A03F37">
        <w:rPr>
          <w:rFonts w:ascii="Tahoma" w:hAnsi="Tahoma" w:cs="Tahoma"/>
          <w:b/>
          <w:sz w:val="24"/>
          <w:szCs w:val="24"/>
          <w:shd w:val="clear" w:color="auto" w:fill="FFFFFF"/>
        </w:rPr>
        <w:t>Charran</w:t>
      </w:r>
      <w:proofErr w:type="spellEnd"/>
      <w:r w:rsidRPr="00A03F37">
        <w:rPr>
          <w:rFonts w:ascii="Tahoma" w:hAnsi="Tahoma" w:cs="Tahoma"/>
          <w:b/>
          <w:sz w:val="24"/>
          <w:szCs w:val="24"/>
          <w:shd w:val="clear" w:color="auto" w:fill="FFFFFF"/>
        </w:rPr>
        <w:t xml:space="preserve"> Singh v Ram Singh and </w:t>
      </w:r>
      <w:proofErr w:type="spellStart"/>
      <w:r w:rsidRPr="00A03F37">
        <w:rPr>
          <w:rFonts w:ascii="Tahoma" w:hAnsi="Tahoma" w:cs="Tahoma"/>
          <w:b/>
          <w:sz w:val="24"/>
          <w:szCs w:val="24"/>
          <w:shd w:val="clear" w:color="auto" w:fill="FFFFFF"/>
        </w:rPr>
        <w:t>Rajcoomarie</w:t>
      </w:r>
      <w:proofErr w:type="spellEnd"/>
      <w:r w:rsidRPr="00A03F37">
        <w:rPr>
          <w:rFonts w:ascii="Tahoma" w:hAnsi="Tahoma" w:cs="Tahoma"/>
          <w:b/>
          <w:sz w:val="24"/>
          <w:szCs w:val="24"/>
          <w:shd w:val="clear" w:color="auto" w:fill="FFFFFF"/>
        </w:rPr>
        <w:t xml:space="preserve"> Singh</w:t>
      </w:r>
      <w:r w:rsidRPr="00A03F37">
        <w:rPr>
          <w:rStyle w:val="FootnoteReference"/>
          <w:rFonts w:ascii="Tahoma" w:hAnsi="Tahoma" w:cs="Tahoma"/>
          <w:sz w:val="24"/>
          <w:szCs w:val="24"/>
          <w:shd w:val="clear" w:color="auto" w:fill="FFFFFF"/>
        </w:rPr>
        <w:footnoteReference w:id="95"/>
      </w:r>
      <w:r w:rsidRPr="00A03F37">
        <w:rPr>
          <w:rFonts w:ascii="Tahoma" w:hAnsi="Tahoma" w:cs="Tahoma"/>
          <w:sz w:val="24"/>
          <w:szCs w:val="24"/>
          <w:shd w:val="clear" w:color="auto" w:fill="FFFFFF"/>
        </w:rPr>
        <w:t>, an appeal from a decision of the Court of Appeal of Guyana.</w:t>
      </w:r>
      <w:r>
        <w:rPr>
          <w:rFonts w:ascii="Tahoma" w:hAnsi="Tahoma" w:cs="Tahoma"/>
          <w:sz w:val="24"/>
          <w:szCs w:val="24"/>
          <w:shd w:val="clear" w:color="auto" w:fill="FFFFFF"/>
        </w:rPr>
        <w:t xml:space="preserve"> </w:t>
      </w:r>
      <w:r w:rsidR="00DE340C">
        <w:rPr>
          <w:rFonts w:ascii="Tahoma" w:hAnsi="Tahoma" w:cs="Tahoma"/>
          <w:sz w:val="24"/>
          <w:szCs w:val="24"/>
          <w:shd w:val="clear" w:color="auto" w:fill="FFFFFF"/>
        </w:rPr>
        <w:t>T</w:t>
      </w:r>
      <w:r>
        <w:rPr>
          <w:rFonts w:ascii="Tahoma" w:hAnsi="Tahoma" w:cs="Tahoma"/>
          <w:sz w:val="24"/>
          <w:szCs w:val="24"/>
          <w:shd w:val="clear" w:color="auto" w:fill="FFFFFF"/>
        </w:rPr>
        <w:t xml:space="preserve">he </w:t>
      </w:r>
      <w:r w:rsidR="00DE340C">
        <w:rPr>
          <w:rFonts w:ascii="Tahoma" w:hAnsi="Tahoma" w:cs="Tahoma"/>
          <w:sz w:val="24"/>
          <w:szCs w:val="24"/>
          <w:shd w:val="clear" w:color="auto" w:fill="FFFFFF"/>
        </w:rPr>
        <w:t xml:space="preserve">respondents in that case were </w:t>
      </w:r>
      <w:r>
        <w:rPr>
          <w:rFonts w:ascii="Tahoma" w:hAnsi="Tahoma" w:cs="Tahoma"/>
          <w:sz w:val="24"/>
          <w:szCs w:val="24"/>
          <w:shd w:val="clear" w:color="auto" w:fill="FFFFFF"/>
        </w:rPr>
        <w:t>mortgagors of property</w:t>
      </w:r>
      <w:r w:rsidR="00DE340C">
        <w:rPr>
          <w:rFonts w:ascii="Tahoma" w:hAnsi="Tahoma" w:cs="Tahoma"/>
          <w:sz w:val="24"/>
          <w:szCs w:val="24"/>
          <w:shd w:val="clear" w:color="auto" w:fill="FFFFFF"/>
        </w:rPr>
        <w:t xml:space="preserve"> which was subject to a mortgage.</w:t>
      </w:r>
      <w:r>
        <w:rPr>
          <w:rFonts w:ascii="Tahoma" w:hAnsi="Tahoma" w:cs="Tahoma"/>
          <w:sz w:val="24"/>
          <w:szCs w:val="24"/>
          <w:shd w:val="clear" w:color="auto" w:fill="FFFFFF"/>
        </w:rPr>
        <w:t xml:space="preserve"> </w:t>
      </w:r>
      <w:r w:rsidR="00DE340C">
        <w:rPr>
          <w:rFonts w:ascii="Tahoma" w:hAnsi="Tahoma" w:cs="Tahoma"/>
          <w:sz w:val="24"/>
          <w:szCs w:val="24"/>
          <w:shd w:val="clear" w:color="auto" w:fill="FFFFFF"/>
        </w:rPr>
        <w:t>Consequent on the respondents having made</w:t>
      </w:r>
      <w:r>
        <w:rPr>
          <w:rFonts w:ascii="Tahoma" w:hAnsi="Tahoma" w:cs="Tahoma"/>
          <w:sz w:val="24"/>
          <w:szCs w:val="24"/>
          <w:shd w:val="clear" w:color="auto" w:fill="FFFFFF"/>
        </w:rPr>
        <w:t xml:space="preserve"> default in payment</w:t>
      </w:r>
      <w:r w:rsidR="00DE340C">
        <w:rPr>
          <w:rFonts w:ascii="Tahoma" w:hAnsi="Tahoma" w:cs="Tahoma"/>
          <w:sz w:val="24"/>
          <w:szCs w:val="24"/>
          <w:shd w:val="clear" w:color="auto" w:fill="FFFFFF"/>
        </w:rPr>
        <w:t xml:space="preserve"> under the mortgage</w:t>
      </w:r>
      <w:r>
        <w:rPr>
          <w:rFonts w:ascii="Tahoma" w:hAnsi="Tahoma" w:cs="Tahoma"/>
          <w:sz w:val="24"/>
          <w:szCs w:val="24"/>
          <w:shd w:val="clear" w:color="auto" w:fill="FFFFFF"/>
        </w:rPr>
        <w:t xml:space="preserve">, a foreclosure </w:t>
      </w:r>
      <w:r>
        <w:rPr>
          <w:rFonts w:ascii="Tahoma" w:hAnsi="Tahoma" w:cs="Tahoma"/>
          <w:sz w:val="24"/>
          <w:szCs w:val="24"/>
          <w:shd w:val="clear" w:color="auto" w:fill="FFFFFF"/>
        </w:rPr>
        <w:lastRenderedPageBreak/>
        <w:t xml:space="preserve">order was made </w:t>
      </w:r>
      <w:proofErr w:type="spellStart"/>
      <w:r w:rsidRPr="00A03F37">
        <w:rPr>
          <w:rFonts w:ascii="Tahoma" w:hAnsi="Tahoma" w:cs="Tahoma"/>
          <w:sz w:val="24"/>
          <w:szCs w:val="24"/>
          <w:shd w:val="clear" w:color="auto" w:fill="FFFFFF"/>
        </w:rPr>
        <w:t>authorising</w:t>
      </w:r>
      <w:proofErr w:type="spellEnd"/>
      <w:r w:rsidRPr="00A03F37">
        <w:rPr>
          <w:rFonts w:ascii="Tahoma" w:hAnsi="Tahoma" w:cs="Tahoma"/>
          <w:sz w:val="24"/>
          <w:szCs w:val="24"/>
          <w:shd w:val="clear" w:color="auto" w:fill="FFFFFF"/>
        </w:rPr>
        <w:t xml:space="preserve"> the </w:t>
      </w:r>
      <w:r>
        <w:rPr>
          <w:rFonts w:ascii="Tahoma" w:hAnsi="Tahoma" w:cs="Tahoma"/>
          <w:sz w:val="24"/>
          <w:szCs w:val="24"/>
          <w:shd w:val="clear" w:color="auto" w:fill="FFFFFF"/>
        </w:rPr>
        <w:t>mortgagee</w:t>
      </w:r>
      <w:r w:rsidRPr="00A03F37">
        <w:rPr>
          <w:rFonts w:ascii="Tahoma" w:hAnsi="Tahoma" w:cs="Tahoma"/>
          <w:sz w:val="24"/>
          <w:szCs w:val="24"/>
          <w:shd w:val="clear" w:color="auto" w:fill="FFFFFF"/>
        </w:rPr>
        <w:t xml:space="preserve"> to proceed to execution against the property in order to</w:t>
      </w:r>
      <w:r>
        <w:rPr>
          <w:rFonts w:ascii="Tahoma" w:hAnsi="Tahoma" w:cs="Tahoma"/>
          <w:sz w:val="24"/>
          <w:szCs w:val="24"/>
          <w:shd w:val="clear" w:color="auto" w:fill="FFFFFF"/>
        </w:rPr>
        <w:t xml:space="preserve"> </w:t>
      </w:r>
      <w:r w:rsidRPr="00A03F37">
        <w:rPr>
          <w:rFonts w:ascii="Tahoma" w:hAnsi="Tahoma" w:cs="Tahoma"/>
          <w:sz w:val="24"/>
          <w:szCs w:val="24"/>
          <w:shd w:val="clear" w:color="auto" w:fill="FFFFFF"/>
        </w:rPr>
        <w:t>receive from the proceeds of sale</w:t>
      </w:r>
      <w:r>
        <w:rPr>
          <w:rFonts w:ascii="Tahoma" w:hAnsi="Tahoma" w:cs="Tahoma"/>
          <w:sz w:val="24"/>
          <w:szCs w:val="24"/>
          <w:shd w:val="clear" w:color="auto" w:fill="FFFFFF"/>
        </w:rPr>
        <w:t xml:space="preserve"> the amount of money </w:t>
      </w:r>
      <w:r w:rsidR="00DE340C">
        <w:rPr>
          <w:rFonts w:ascii="Tahoma" w:hAnsi="Tahoma" w:cs="Tahoma"/>
          <w:sz w:val="24"/>
          <w:szCs w:val="24"/>
          <w:shd w:val="clear" w:color="auto" w:fill="FFFFFF"/>
        </w:rPr>
        <w:t>due</w:t>
      </w:r>
      <w:r>
        <w:rPr>
          <w:rFonts w:ascii="Tahoma" w:hAnsi="Tahoma" w:cs="Tahoma"/>
          <w:sz w:val="24"/>
          <w:szCs w:val="24"/>
          <w:shd w:val="clear" w:color="auto" w:fill="FFFFFF"/>
        </w:rPr>
        <w:t xml:space="preserve"> to it,</w:t>
      </w:r>
      <w:r w:rsidRPr="00A03F37">
        <w:rPr>
          <w:rFonts w:ascii="Tahoma" w:hAnsi="Tahoma" w:cs="Tahoma"/>
          <w:sz w:val="24"/>
          <w:szCs w:val="24"/>
          <w:shd w:val="clear" w:color="auto" w:fill="FFFFFF"/>
        </w:rPr>
        <w:t xml:space="preserve"> with interest.</w:t>
      </w:r>
      <w:r w:rsidR="00DE340C">
        <w:rPr>
          <w:rFonts w:ascii="Tahoma" w:hAnsi="Tahoma" w:cs="Tahoma"/>
          <w:sz w:val="24"/>
          <w:szCs w:val="24"/>
          <w:shd w:val="clear" w:color="auto" w:fill="FFFFFF"/>
        </w:rPr>
        <w:t xml:space="preserve"> At the subsequent sale by public auction conducted by the appropriate officer of the court</w:t>
      </w:r>
      <w:r w:rsidR="0027275A">
        <w:rPr>
          <w:rFonts w:ascii="Tahoma" w:hAnsi="Tahoma" w:cs="Tahoma"/>
          <w:sz w:val="24"/>
          <w:szCs w:val="24"/>
          <w:shd w:val="clear" w:color="auto" w:fill="FFFFFF"/>
        </w:rPr>
        <w:t xml:space="preserve"> on 28 September 2004</w:t>
      </w:r>
      <w:r w:rsidR="00DE340C">
        <w:rPr>
          <w:rFonts w:ascii="Tahoma" w:hAnsi="Tahoma" w:cs="Tahoma"/>
          <w:sz w:val="24"/>
          <w:szCs w:val="24"/>
          <w:shd w:val="clear" w:color="auto" w:fill="FFFFFF"/>
        </w:rPr>
        <w:t>, the a</w:t>
      </w:r>
      <w:r w:rsidR="00DE340C" w:rsidRPr="00DE340C">
        <w:rPr>
          <w:rFonts w:ascii="Tahoma" w:hAnsi="Tahoma" w:cs="Tahoma"/>
          <w:sz w:val="24"/>
          <w:szCs w:val="24"/>
          <w:shd w:val="clear" w:color="auto" w:fill="FFFFFF"/>
        </w:rPr>
        <w:t>ppellant purchased the</w:t>
      </w:r>
      <w:r w:rsidR="00DE340C">
        <w:rPr>
          <w:rFonts w:ascii="Tahoma" w:hAnsi="Tahoma" w:cs="Tahoma"/>
          <w:sz w:val="24"/>
          <w:szCs w:val="24"/>
          <w:shd w:val="clear" w:color="auto" w:fill="FFFFFF"/>
        </w:rPr>
        <w:t xml:space="preserve"> </w:t>
      </w:r>
      <w:r w:rsidR="00DE340C" w:rsidRPr="00DE340C">
        <w:rPr>
          <w:rFonts w:ascii="Tahoma" w:hAnsi="Tahoma" w:cs="Tahoma"/>
          <w:sz w:val="24"/>
          <w:szCs w:val="24"/>
          <w:shd w:val="clear" w:color="auto" w:fill="FFFFFF"/>
        </w:rPr>
        <w:t>property for $11,020,000 and immediately paid the 25% deposit</w:t>
      </w:r>
      <w:r w:rsidR="00001DC5">
        <w:rPr>
          <w:rFonts w:ascii="Tahoma" w:hAnsi="Tahoma" w:cs="Tahoma"/>
          <w:sz w:val="24"/>
          <w:szCs w:val="24"/>
          <w:shd w:val="clear" w:color="auto" w:fill="FFFFFF"/>
        </w:rPr>
        <w:t xml:space="preserve"> of</w:t>
      </w:r>
      <w:r w:rsidR="00DE340C" w:rsidRPr="00DE340C">
        <w:rPr>
          <w:rFonts w:ascii="Tahoma" w:hAnsi="Tahoma" w:cs="Tahoma"/>
          <w:sz w:val="24"/>
          <w:szCs w:val="24"/>
          <w:shd w:val="clear" w:color="auto" w:fill="FFFFFF"/>
        </w:rPr>
        <w:t xml:space="preserve"> $2,555,000</w:t>
      </w:r>
      <w:r w:rsidR="00001DC5">
        <w:rPr>
          <w:rFonts w:ascii="Tahoma" w:hAnsi="Tahoma" w:cs="Tahoma"/>
          <w:sz w:val="24"/>
          <w:szCs w:val="24"/>
          <w:shd w:val="clear" w:color="auto" w:fill="FFFFFF"/>
        </w:rPr>
        <w:t>. This payment was made</w:t>
      </w:r>
      <w:r w:rsidR="00DE340C">
        <w:rPr>
          <w:rFonts w:ascii="Tahoma" w:hAnsi="Tahoma" w:cs="Tahoma"/>
          <w:sz w:val="24"/>
          <w:szCs w:val="24"/>
          <w:shd w:val="clear" w:color="auto" w:fill="FFFFFF"/>
        </w:rPr>
        <w:t xml:space="preserve"> in accordance with the relevant rule</w:t>
      </w:r>
      <w:r w:rsidR="0029140F">
        <w:rPr>
          <w:rFonts w:ascii="Tahoma" w:hAnsi="Tahoma" w:cs="Tahoma"/>
          <w:sz w:val="24"/>
          <w:szCs w:val="24"/>
          <w:shd w:val="clear" w:color="auto" w:fill="FFFFFF"/>
        </w:rPr>
        <w:t>s</w:t>
      </w:r>
      <w:r w:rsidR="00DE340C">
        <w:rPr>
          <w:rFonts w:ascii="Tahoma" w:hAnsi="Tahoma" w:cs="Tahoma"/>
          <w:sz w:val="24"/>
          <w:szCs w:val="24"/>
          <w:shd w:val="clear" w:color="auto" w:fill="FFFFFF"/>
        </w:rPr>
        <w:t xml:space="preserve"> of court which </w:t>
      </w:r>
      <w:r w:rsidR="00DE340C" w:rsidRPr="00DE340C">
        <w:rPr>
          <w:rFonts w:ascii="Tahoma" w:hAnsi="Tahoma" w:cs="Tahoma"/>
          <w:sz w:val="24"/>
          <w:szCs w:val="24"/>
          <w:shd w:val="clear" w:color="auto" w:fill="FFFFFF"/>
        </w:rPr>
        <w:t xml:space="preserve">required </w:t>
      </w:r>
      <w:r w:rsidR="00001DC5">
        <w:rPr>
          <w:rFonts w:ascii="Tahoma" w:hAnsi="Tahoma" w:cs="Tahoma"/>
          <w:sz w:val="24"/>
          <w:szCs w:val="24"/>
          <w:shd w:val="clear" w:color="auto" w:fill="FFFFFF"/>
        </w:rPr>
        <w:t>a purchaser</w:t>
      </w:r>
      <w:r w:rsidR="00DE340C">
        <w:rPr>
          <w:rFonts w:ascii="Tahoma" w:hAnsi="Tahoma" w:cs="Tahoma"/>
          <w:sz w:val="24"/>
          <w:szCs w:val="24"/>
          <w:shd w:val="clear" w:color="auto" w:fill="FFFFFF"/>
        </w:rPr>
        <w:t xml:space="preserve"> to make a deposit of 25%</w:t>
      </w:r>
      <w:r w:rsidR="00DE340C" w:rsidRPr="00DE340C">
        <w:rPr>
          <w:rFonts w:ascii="Tahoma" w:hAnsi="Tahoma" w:cs="Tahoma"/>
          <w:sz w:val="24"/>
          <w:szCs w:val="24"/>
          <w:shd w:val="clear" w:color="auto" w:fill="FFFFFF"/>
        </w:rPr>
        <w:t xml:space="preserve"> of the purchase money and </w:t>
      </w:r>
      <w:r w:rsidR="00DE340C">
        <w:rPr>
          <w:rFonts w:ascii="Tahoma" w:hAnsi="Tahoma" w:cs="Tahoma"/>
          <w:sz w:val="24"/>
          <w:szCs w:val="24"/>
          <w:shd w:val="clear" w:color="auto" w:fill="FFFFFF"/>
        </w:rPr>
        <w:t>to</w:t>
      </w:r>
      <w:r w:rsidR="00DE340C" w:rsidRPr="00DE340C">
        <w:rPr>
          <w:rFonts w:ascii="Tahoma" w:hAnsi="Tahoma" w:cs="Tahoma"/>
          <w:sz w:val="24"/>
          <w:szCs w:val="24"/>
          <w:shd w:val="clear" w:color="auto" w:fill="FFFFFF"/>
        </w:rPr>
        <w:t xml:space="preserve"> pay the balance by</w:t>
      </w:r>
      <w:r w:rsidR="00DE340C">
        <w:rPr>
          <w:rFonts w:ascii="Tahoma" w:hAnsi="Tahoma" w:cs="Tahoma"/>
          <w:sz w:val="24"/>
          <w:szCs w:val="24"/>
          <w:shd w:val="clear" w:color="auto" w:fill="FFFFFF"/>
        </w:rPr>
        <w:t xml:space="preserve"> </w:t>
      </w:r>
      <w:r w:rsidR="00DE340C" w:rsidRPr="00DE340C">
        <w:rPr>
          <w:rFonts w:ascii="Tahoma" w:hAnsi="Tahoma" w:cs="Tahoma"/>
          <w:sz w:val="24"/>
          <w:szCs w:val="24"/>
          <w:shd w:val="clear" w:color="auto" w:fill="FFFFFF"/>
        </w:rPr>
        <w:t>three equal instalments, with interest at the rate of 6 per cent per annum, at the</w:t>
      </w:r>
      <w:r w:rsidR="00DE340C">
        <w:rPr>
          <w:rFonts w:ascii="Tahoma" w:hAnsi="Tahoma" w:cs="Tahoma"/>
          <w:sz w:val="24"/>
          <w:szCs w:val="24"/>
          <w:shd w:val="clear" w:color="auto" w:fill="FFFFFF"/>
        </w:rPr>
        <w:t xml:space="preserve"> </w:t>
      </w:r>
      <w:r w:rsidR="00DE340C" w:rsidRPr="00DE340C">
        <w:rPr>
          <w:rFonts w:ascii="Tahoma" w:hAnsi="Tahoma" w:cs="Tahoma"/>
          <w:sz w:val="24"/>
          <w:szCs w:val="24"/>
          <w:shd w:val="clear" w:color="auto" w:fill="FFFFFF"/>
        </w:rPr>
        <w:t>expiration of two, four and six months, respectively.</w:t>
      </w:r>
      <w:r w:rsidR="0029140F">
        <w:rPr>
          <w:rFonts w:ascii="Tahoma" w:hAnsi="Tahoma" w:cs="Tahoma"/>
          <w:sz w:val="24"/>
          <w:szCs w:val="24"/>
          <w:shd w:val="clear" w:color="auto" w:fill="FFFFFF"/>
        </w:rPr>
        <w:t xml:space="preserve"> The rules also provided that, if the </w:t>
      </w:r>
      <w:r w:rsidR="0029140F" w:rsidRPr="0029140F">
        <w:rPr>
          <w:rFonts w:ascii="Tahoma" w:hAnsi="Tahoma" w:cs="Tahoma"/>
          <w:sz w:val="24"/>
          <w:szCs w:val="24"/>
          <w:shd w:val="clear" w:color="auto" w:fill="FFFFFF"/>
        </w:rPr>
        <w:t>purchaser ma</w:t>
      </w:r>
      <w:r w:rsidR="0029140F">
        <w:rPr>
          <w:rFonts w:ascii="Tahoma" w:hAnsi="Tahoma" w:cs="Tahoma"/>
          <w:sz w:val="24"/>
          <w:szCs w:val="24"/>
          <w:shd w:val="clear" w:color="auto" w:fill="FFFFFF"/>
        </w:rPr>
        <w:t>de</w:t>
      </w:r>
      <w:r w:rsidR="0029140F" w:rsidRPr="0029140F">
        <w:rPr>
          <w:rFonts w:ascii="Tahoma" w:hAnsi="Tahoma" w:cs="Tahoma"/>
          <w:sz w:val="24"/>
          <w:szCs w:val="24"/>
          <w:shd w:val="clear" w:color="auto" w:fill="FFFFFF"/>
        </w:rPr>
        <w:t xml:space="preserve"> default in payment of any of the instalments</w:t>
      </w:r>
      <w:r w:rsidR="0029140F">
        <w:rPr>
          <w:rFonts w:ascii="Tahoma" w:hAnsi="Tahoma" w:cs="Tahoma"/>
          <w:sz w:val="24"/>
          <w:szCs w:val="24"/>
          <w:shd w:val="clear" w:color="auto" w:fill="FFFFFF"/>
        </w:rPr>
        <w:t>, the amount of the deposit would</w:t>
      </w:r>
      <w:r w:rsidR="0029140F" w:rsidRPr="0029140F">
        <w:rPr>
          <w:rFonts w:ascii="Tahoma" w:hAnsi="Tahoma" w:cs="Tahoma"/>
          <w:sz w:val="24"/>
          <w:szCs w:val="24"/>
          <w:shd w:val="clear" w:color="auto" w:fill="FFFFFF"/>
        </w:rPr>
        <w:t>, unless t</w:t>
      </w:r>
      <w:r w:rsidR="0027275A">
        <w:rPr>
          <w:rFonts w:ascii="Tahoma" w:hAnsi="Tahoma" w:cs="Tahoma"/>
          <w:sz w:val="24"/>
          <w:szCs w:val="24"/>
          <w:shd w:val="clear" w:color="auto" w:fill="FFFFFF"/>
        </w:rPr>
        <w:t xml:space="preserve">ime were extended by the court, </w:t>
      </w:r>
      <w:r w:rsidR="0029140F" w:rsidRPr="0029140F">
        <w:rPr>
          <w:rFonts w:ascii="Tahoma" w:hAnsi="Tahoma" w:cs="Tahoma"/>
          <w:sz w:val="24"/>
          <w:szCs w:val="24"/>
          <w:shd w:val="clear" w:color="auto" w:fill="FFFFFF"/>
        </w:rPr>
        <w:t xml:space="preserve">be forfeited and applied towards discharge of the execution costs and </w:t>
      </w:r>
      <w:r w:rsidR="0027275A">
        <w:rPr>
          <w:rFonts w:ascii="Tahoma" w:hAnsi="Tahoma" w:cs="Tahoma"/>
          <w:sz w:val="24"/>
          <w:szCs w:val="24"/>
          <w:shd w:val="clear" w:color="auto" w:fill="FFFFFF"/>
        </w:rPr>
        <w:t xml:space="preserve">the </w:t>
      </w:r>
      <w:r w:rsidR="0029140F" w:rsidRPr="0029140F">
        <w:rPr>
          <w:rFonts w:ascii="Tahoma" w:hAnsi="Tahoma" w:cs="Tahoma"/>
          <w:sz w:val="24"/>
          <w:szCs w:val="24"/>
          <w:shd w:val="clear" w:color="auto" w:fill="FFFFFF"/>
        </w:rPr>
        <w:t>judgment debt</w:t>
      </w:r>
      <w:r w:rsidR="0027275A">
        <w:rPr>
          <w:rFonts w:ascii="Tahoma" w:hAnsi="Tahoma" w:cs="Tahoma"/>
          <w:sz w:val="24"/>
          <w:szCs w:val="24"/>
          <w:shd w:val="clear" w:color="auto" w:fill="FFFFFF"/>
        </w:rPr>
        <w:t>.</w:t>
      </w:r>
      <w:r w:rsidR="0029140F" w:rsidRPr="0029140F">
        <w:rPr>
          <w:rFonts w:ascii="Tahoma" w:hAnsi="Tahoma" w:cs="Tahoma"/>
          <w:sz w:val="24"/>
          <w:szCs w:val="24"/>
          <w:shd w:val="clear" w:color="auto" w:fill="FFFFFF"/>
        </w:rPr>
        <w:t xml:space="preserve"> </w:t>
      </w:r>
    </w:p>
    <w:p w:rsidR="006928A9" w:rsidRDefault="0027275A" w:rsidP="00693F48">
      <w:pPr>
        <w:spacing w:line="480" w:lineRule="auto"/>
        <w:jc w:val="both"/>
        <w:rPr>
          <w:rFonts w:ascii="Tahoma" w:eastAsia="Times New Roman" w:hAnsi="Tahoma" w:cs="Tahoma"/>
          <w:sz w:val="24"/>
          <w:szCs w:val="24"/>
          <w:lang w:val="en-JM" w:eastAsia="en-JM"/>
        </w:rPr>
      </w:pPr>
      <w:r>
        <w:rPr>
          <w:rFonts w:ascii="Tahoma" w:hAnsi="Tahoma" w:cs="Tahoma"/>
          <w:sz w:val="24"/>
          <w:szCs w:val="24"/>
          <w:shd w:val="clear" w:color="auto" w:fill="FFFFFF"/>
        </w:rPr>
        <w:t xml:space="preserve">58.   </w:t>
      </w:r>
      <w:r w:rsidR="00001DC5" w:rsidRPr="0027275A">
        <w:rPr>
          <w:rFonts w:ascii="Tahoma" w:hAnsi="Tahoma" w:cs="Tahoma"/>
          <w:sz w:val="24"/>
          <w:szCs w:val="24"/>
          <w:shd w:val="clear" w:color="auto" w:fill="FFFFFF"/>
        </w:rPr>
        <w:t>On 23 November 2004</w:t>
      </w:r>
      <w:r w:rsidR="00001DC5">
        <w:rPr>
          <w:rFonts w:ascii="Tahoma" w:hAnsi="Tahoma" w:cs="Tahoma"/>
          <w:sz w:val="24"/>
          <w:szCs w:val="24"/>
          <w:shd w:val="clear" w:color="auto" w:fill="FFFFFF"/>
        </w:rPr>
        <w:t>, a</w:t>
      </w:r>
      <w:r w:rsidRPr="0027275A">
        <w:rPr>
          <w:rFonts w:ascii="Tahoma" w:hAnsi="Tahoma" w:cs="Tahoma"/>
          <w:sz w:val="24"/>
          <w:szCs w:val="24"/>
          <w:shd w:val="clear" w:color="auto" w:fill="FFFFFF"/>
        </w:rPr>
        <w:t xml:space="preserve">ggrieved by the sale, the </w:t>
      </w:r>
      <w:r>
        <w:rPr>
          <w:rFonts w:ascii="Tahoma" w:hAnsi="Tahoma" w:cs="Tahoma"/>
          <w:sz w:val="24"/>
          <w:szCs w:val="24"/>
          <w:shd w:val="clear" w:color="auto" w:fill="FFFFFF"/>
        </w:rPr>
        <w:t xml:space="preserve">respondents </w:t>
      </w:r>
      <w:r w:rsidRPr="0027275A">
        <w:rPr>
          <w:rFonts w:ascii="Tahoma" w:hAnsi="Tahoma" w:cs="Tahoma"/>
          <w:sz w:val="24"/>
          <w:szCs w:val="24"/>
          <w:shd w:val="clear" w:color="auto" w:fill="FFFFFF"/>
        </w:rPr>
        <w:t xml:space="preserve">issued a </w:t>
      </w:r>
      <w:r>
        <w:rPr>
          <w:rFonts w:ascii="Tahoma" w:hAnsi="Tahoma" w:cs="Tahoma"/>
          <w:sz w:val="24"/>
          <w:szCs w:val="24"/>
          <w:shd w:val="clear" w:color="auto" w:fill="FFFFFF"/>
        </w:rPr>
        <w:t>n</w:t>
      </w:r>
      <w:r w:rsidRPr="0027275A">
        <w:rPr>
          <w:rFonts w:ascii="Tahoma" w:hAnsi="Tahoma" w:cs="Tahoma"/>
          <w:sz w:val="24"/>
          <w:szCs w:val="24"/>
          <w:shd w:val="clear" w:color="auto" w:fill="FFFFFF"/>
        </w:rPr>
        <w:t xml:space="preserve">otice of </w:t>
      </w:r>
      <w:r>
        <w:rPr>
          <w:rFonts w:ascii="Tahoma" w:hAnsi="Tahoma" w:cs="Tahoma"/>
          <w:sz w:val="24"/>
          <w:szCs w:val="24"/>
          <w:shd w:val="clear" w:color="auto" w:fill="FFFFFF"/>
        </w:rPr>
        <w:t>m</w:t>
      </w:r>
      <w:r w:rsidRPr="0027275A">
        <w:rPr>
          <w:rFonts w:ascii="Tahoma" w:hAnsi="Tahoma" w:cs="Tahoma"/>
          <w:sz w:val="24"/>
          <w:szCs w:val="24"/>
          <w:shd w:val="clear" w:color="auto" w:fill="FFFFFF"/>
        </w:rPr>
        <w:t>otion</w:t>
      </w:r>
      <w:r>
        <w:rPr>
          <w:rFonts w:ascii="Tahoma" w:hAnsi="Tahoma" w:cs="Tahoma"/>
          <w:sz w:val="24"/>
          <w:szCs w:val="24"/>
          <w:shd w:val="clear" w:color="auto" w:fill="FFFFFF"/>
        </w:rPr>
        <w:t xml:space="preserve"> </w:t>
      </w:r>
      <w:r w:rsidRPr="0027275A">
        <w:rPr>
          <w:rFonts w:ascii="Tahoma" w:hAnsi="Tahoma" w:cs="Tahoma"/>
          <w:sz w:val="24"/>
          <w:szCs w:val="24"/>
          <w:shd w:val="clear" w:color="auto" w:fill="FFFFFF"/>
        </w:rPr>
        <w:t xml:space="preserve">against the </w:t>
      </w:r>
      <w:r>
        <w:rPr>
          <w:rFonts w:ascii="Tahoma" w:hAnsi="Tahoma" w:cs="Tahoma"/>
          <w:sz w:val="24"/>
          <w:szCs w:val="24"/>
          <w:shd w:val="clear" w:color="auto" w:fill="FFFFFF"/>
        </w:rPr>
        <w:t xml:space="preserve">mortgagee, the appellant </w:t>
      </w:r>
      <w:r w:rsidRPr="0027275A">
        <w:rPr>
          <w:rFonts w:ascii="Tahoma" w:hAnsi="Tahoma" w:cs="Tahoma"/>
          <w:sz w:val="24"/>
          <w:szCs w:val="24"/>
          <w:shd w:val="clear" w:color="auto" w:fill="FFFFFF"/>
        </w:rPr>
        <w:t>and the Registrar of the Supreme Court</w:t>
      </w:r>
      <w:r>
        <w:rPr>
          <w:rFonts w:ascii="Tahoma" w:hAnsi="Tahoma" w:cs="Tahoma"/>
          <w:sz w:val="24"/>
          <w:szCs w:val="24"/>
          <w:shd w:val="clear" w:color="auto" w:fill="FFFFFF"/>
        </w:rPr>
        <w:t>. In these proceedings, the respondents sought</w:t>
      </w:r>
      <w:r w:rsidRPr="0027275A">
        <w:rPr>
          <w:rFonts w:ascii="Tahoma" w:hAnsi="Tahoma" w:cs="Tahoma"/>
          <w:sz w:val="24"/>
          <w:szCs w:val="24"/>
          <w:shd w:val="clear" w:color="auto" w:fill="FFFFFF"/>
        </w:rPr>
        <w:t xml:space="preserve"> an order setting aside the sale of the property as being irregular and an injunction restraining the Registrar from </w:t>
      </w:r>
      <w:r>
        <w:rPr>
          <w:rFonts w:ascii="Tahoma" w:hAnsi="Tahoma" w:cs="Tahoma"/>
          <w:sz w:val="24"/>
          <w:szCs w:val="24"/>
          <w:shd w:val="clear" w:color="auto" w:fill="FFFFFF"/>
        </w:rPr>
        <w:t>transferring (“</w:t>
      </w:r>
      <w:r w:rsidRPr="0027275A">
        <w:rPr>
          <w:rFonts w:ascii="Tahoma" w:hAnsi="Tahoma" w:cs="Tahoma"/>
          <w:sz w:val="24"/>
          <w:szCs w:val="24"/>
          <w:shd w:val="clear" w:color="auto" w:fill="FFFFFF"/>
        </w:rPr>
        <w:t>passing transport of</w:t>
      </w:r>
      <w:r>
        <w:rPr>
          <w:rFonts w:ascii="Tahoma" w:hAnsi="Tahoma" w:cs="Tahoma"/>
          <w:sz w:val="24"/>
          <w:szCs w:val="24"/>
          <w:shd w:val="clear" w:color="auto" w:fill="FFFFFF"/>
        </w:rPr>
        <w:t>”)</w:t>
      </w:r>
      <w:r w:rsidRPr="0027275A">
        <w:rPr>
          <w:rFonts w:ascii="Tahoma" w:hAnsi="Tahoma" w:cs="Tahoma"/>
          <w:sz w:val="24"/>
          <w:szCs w:val="24"/>
          <w:shd w:val="clear" w:color="auto" w:fill="FFFFFF"/>
        </w:rPr>
        <w:t xml:space="preserve"> the property to the </w:t>
      </w:r>
      <w:r>
        <w:rPr>
          <w:rFonts w:ascii="Tahoma" w:hAnsi="Tahoma" w:cs="Tahoma"/>
          <w:sz w:val="24"/>
          <w:szCs w:val="24"/>
          <w:shd w:val="clear" w:color="auto" w:fill="FFFFFF"/>
        </w:rPr>
        <w:t>appellant</w:t>
      </w:r>
      <w:r w:rsidRPr="0027275A">
        <w:rPr>
          <w:rFonts w:ascii="Tahoma" w:hAnsi="Tahoma" w:cs="Tahoma"/>
          <w:sz w:val="24"/>
          <w:szCs w:val="24"/>
          <w:shd w:val="clear" w:color="auto" w:fill="FFFFFF"/>
        </w:rPr>
        <w:t>.</w:t>
      </w:r>
      <w:r>
        <w:rPr>
          <w:rFonts w:ascii="Tahoma" w:hAnsi="Tahoma" w:cs="Tahoma"/>
          <w:sz w:val="24"/>
          <w:szCs w:val="24"/>
          <w:shd w:val="clear" w:color="auto" w:fill="FFFFFF"/>
        </w:rPr>
        <w:t xml:space="preserve"> </w:t>
      </w:r>
      <w:r w:rsidRPr="0027275A">
        <w:rPr>
          <w:rFonts w:ascii="Tahoma" w:hAnsi="Tahoma" w:cs="Tahoma"/>
          <w:sz w:val="24"/>
          <w:szCs w:val="24"/>
          <w:shd w:val="clear" w:color="auto" w:fill="FFFFFF"/>
        </w:rPr>
        <w:t>When</w:t>
      </w:r>
      <w:r>
        <w:rPr>
          <w:rFonts w:ascii="Tahoma" w:hAnsi="Tahoma" w:cs="Tahoma"/>
          <w:sz w:val="24"/>
          <w:szCs w:val="24"/>
          <w:shd w:val="clear" w:color="auto" w:fill="FFFFFF"/>
        </w:rPr>
        <w:t xml:space="preserve"> the appellant</w:t>
      </w:r>
      <w:r w:rsidRPr="0027275A">
        <w:rPr>
          <w:rFonts w:ascii="Tahoma" w:hAnsi="Tahoma" w:cs="Tahoma"/>
          <w:sz w:val="24"/>
          <w:szCs w:val="24"/>
          <w:shd w:val="clear" w:color="auto" w:fill="FFFFFF"/>
        </w:rPr>
        <w:t xml:space="preserve"> turned up at the Registrar</w:t>
      </w:r>
      <w:r>
        <w:rPr>
          <w:rFonts w:ascii="Tahoma" w:hAnsi="Tahoma" w:cs="Tahoma"/>
          <w:sz w:val="24"/>
          <w:szCs w:val="24"/>
          <w:shd w:val="clear" w:color="auto" w:fill="FFFFFF"/>
        </w:rPr>
        <w:t>’</w:t>
      </w:r>
      <w:r w:rsidRPr="0027275A">
        <w:rPr>
          <w:rFonts w:ascii="Tahoma" w:hAnsi="Tahoma" w:cs="Tahoma"/>
          <w:sz w:val="24"/>
          <w:szCs w:val="24"/>
          <w:shd w:val="clear" w:color="auto" w:fill="FFFFFF"/>
        </w:rPr>
        <w:t>s</w:t>
      </w:r>
      <w:r>
        <w:rPr>
          <w:rFonts w:ascii="Tahoma" w:hAnsi="Tahoma" w:cs="Tahoma"/>
          <w:sz w:val="24"/>
          <w:szCs w:val="24"/>
          <w:shd w:val="clear" w:color="auto" w:fill="FFFFFF"/>
        </w:rPr>
        <w:t xml:space="preserve"> </w:t>
      </w:r>
      <w:r w:rsidRPr="0027275A">
        <w:rPr>
          <w:rFonts w:ascii="Tahoma" w:hAnsi="Tahoma" w:cs="Tahoma"/>
          <w:sz w:val="24"/>
          <w:szCs w:val="24"/>
          <w:shd w:val="clear" w:color="auto" w:fill="FFFFFF"/>
        </w:rPr>
        <w:t xml:space="preserve">office before </w:t>
      </w:r>
      <w:r w:rsidR="00001DC5">
        <w:rPr>
          <w:rFonts w:ascii="Tahoma" w:hAnsi="Tahoma" w:cs="Tahoma"/>
          <w:sz w:val="24"/>
          <w:szCs w:val="24"/>
          <w:shd w:val="clear" w:color="auto" w:fill="FFFFFF"/>
        </w:rPr>
        <w:t xml:space="preserve">the </w:t>
      </w:r>
      <w:r w:rsidRPr="0027275A">
        <w:rPr>
          <w:rFonts w:ascii="Tahoma" w:hAnsi="Tahoma" w:cs="Tahoma"/>
          <w:sz w:val="24"/>
          <w:szCs w:val="24"/>
          <w:shd w:val="clear" w:color="auto" w:fill="FFFFFF"/>
        </w:rPr>
        <w:t>expiry of two months from 28 September 2004</w:t>
      </w:r>
      <w:r>
        <w:rPr>
          <w:rFonts w:ascii="Tahoma" w:hAnsi="Tahoma" w:cs="Tahoma"/>
          <w:sz w:val="24"/>
          <w:szCs w:val="24"/>
          <w:shd w:val="clear" w:color="auto" w:fill="FFFFFF"/>
        </w:rPr>
        <w:t>,</w:t>
      </w:r>
      <w:r w:rsidRPr="0027275A">
        <w:rPr>
          <w:rFonts w:ascii="Tahoma" w:hAnsi="Tahoma" w:cs="Tahoma"/>
          <w:sz w:val="24"/>
          <w:szCs w:val="24"/>
          <w:shd w:val="clear" w:color="auto" w:fill="FFFFFF"/>
        </w:rPr>
        <w:t xml:space="preserve"> ready to pay the whole 75% balance of the purchase price</w:t>
      </w:r>
      <w:r>
        <w:rPr>
          <w:rFonts w:ascii="Tahoma" w:hAnsi="Tahoma" w:cs="Tahoma"/>
          <w:sz w:val="24"/>
          <w:szCs w:val="24"/>
          <w:shd w:val="clear" w:color="auto" w:fill="FFFFFF"/>
        </w:rPr>
        <w:t>,</w:t>
      </w:r>
      <w:r w:rsidRPr="0027275A">
        <w:rPr>
          <w:rFonts w:ascii="Tahoma" w:hAnsi="Tahoma" w:cs="Tahoma"/>
          <w:sz w:val="24"/>
          <w:szCs w:val="24"/>
          <w:shd w:val="clear" w:color="auto" w:fill="FFFFFF"/>
        </w:rPr>
        <w:t xml:space="preserve"> </w:t>
      </w:r>
      <w:r w:rsidR="00C13EA1">
        <w:rPr>
          <w:rFonts w:ascii="Tahoma" w:hAnsi="Tahoma" w:cs="Tahoma"/>
          <w:sz w:val="24"/>
          <w:szCs w:val="24"/>
          <w:shd w:val="clear" w:color="auto" w:fill="FFFFFF"/>
        </w:rPr>
        <w:t>his money was not accepted. H</w:t>
      </w:r>
      <w:r w:rsidRPr="0027275A">
        <w:rPr>
          <w:rFonts w:ascii="Tahoma" w:hAnsi="Tahoma" w:cs="Tahoma"/>
          <w:sz w:val="24"/>
          <w:szCs w:val="24"/>
          <w:shd w:val="clear" w:color="auto" w:fill="FFFFFF"/>
        </w:rPr>
        <w:t xml:space="preserve">e </w:t>
      </w:r>
      <w:r>
        <w:rPr>
          <w:rFonts w:ascii="Tahoma" w:hAnsi="Tahoma" w:cs="Tahoma"/>
          <w:sz w:val="24"/>
          <w:szCs w:val="24"/>
          <w:shd w:val="clear" w:color="auto" w:fill="FFFFFF"/>
        </w:rPr>
        <w:t xml:space="preserve">was told by the registry staff </w:t>
      </w:r>
      <w:r w:rsidRPr="0027275A">
        <w:rPr>
          <w:rFonts w:ascii="Tahoma" w:hAnsi="Tahoma" w:cs="Tahoma"/>
          <w:sz w:val="24"/>
          <w:szCs w:val="24"/>
          <w:shd w:val="clear" w:color="auto" w:fill="FFFFFF"/>
        </w:rPr>
        <w:t>“that they could not accept [his] money because</w:t>
      </w:r>
      <w:r>
        <w:rPr>
          <w:rFonts w:ascii="Tahoma" w:hAnsi="Tahoma" w:cs="Tahoma"/>
          <w:sz w:val="24"/>
          <w:szCs w:val="24"/>
          <w:shd w:val="clear" w:color="auto" w:fill="FFFFFF"/>
        </w:rPr>
        <w:t xml:space="preserve"> </w:t>
      </w:r>
      <w:r w:rsidRPr="0027275A">
        <w:rPr>
          <w:rFonts w:ascii="Tahoma" w:hAnsi="Tahoma" w:cs="Tahoma"/>
          <w:sz w:val="24"/>
          <w:szCs w:val="24"/>
          <w:shd w:val="clear" w:color="auto" w:fill="FFFFFF"/>
        </w:rPr>
        <w:t>of court proceedings”</w:t>
      </w:r>
      <w:r w:rsidR="00C13EA1">
        <w:rPr>
          <w:rFonts w:ascii="Tahoma" w:hAnsi="Tahoma" w:cs="Tahoma"/>
          <w:sz w:val="24"/>
          <w:szCs w:val="24"/>
          <w:shd w:val="clear" w:color="auto" w:fill="FFFFFF"/>
        </w:rPr>
        <w:t xml:space="preserve">. The various proceedings brought by the respondents to prevent the sale to the appellant were dismissed </w:t>
      </w:r>
      <w:r w:rsidR="00C13EA1" w:rsidRPr="00C13EA1">
        <w:rPr>
          <w:rFonts w:ascii="Tahoma" w:hAnsi="Tahoma" w:cs="Tahoma"/>
          <w:sz w:val="24"/>
          <w:szCs w:val="24"/>
          <w:shd w:val="clear" w:color="auto" w:fill="FFFFFF"/>
        </w:rPr>
        <w:t>on 10 April 2008 and</w:t>
      </w:r>
      <w:r w:rsidR="00001DC5">
        <w:rPr>
          <w:rFonts w:ascii="Tahoma" w:hAnsi="Tahoma" w:cs="Tahoma"/>
          <w:sz w:val="24"/>
          <w:szCs w:val="24"/>
          <w:shd w:val="clear" w:color="auto" w:fill="FFFFFF"/>
        </w:rPr>
        <w:t>,</w:t>
      </w:r>
      <w:r w:rsidR="00C13EA1">
        <w:rPr>
          <w:rFonts w:ascii="Tahoma" w:hAnsi="Tahoma" w:cs="Tahoma"/>
          <w:sz w:val="24"/>
          <w:szCs w:val="24"/>
          <w:shd w:val="clear" w:color="auto" w:fill="FFFFFF"/>
        </w:rPr>
        <w:t xml:space="preserve"> </w:t>
      </w:r>
      <w:r w:rsidR="00C13EA1" w:rsidRPr="00C13EA1">
        <w:rPr>
          <w:rFonts w:ascii="Tahoma" w:hAnsi="Tahoma" w:cs="Tahoma"/>
          <w:sz w:val="24"/>
          <w:szCs w:val="24"/>
          <w:shd w:val="clear" w:color="auto" w:fill="FFFFFF"/>
        </w:rPr>
        <w:t xml:space="preserve">on 15 April </w:t>
      </w:r>
      <w:proofErr w:type="gramStart"/>
      <w:r w:rsidR="00C13EA1" w:rsidRPr="00C13EA1">
        <w:rPr>
          <w:rFonts w:ascii="Tahoma" w:hAnsi="Tahoma" w:cs="Tahoma"/>
          <w:sz w:val="24"/>
          <w:szCs w:val="24"/>
          <w:shd w:val="clear" w:color="auto" w:fill="FFFFFF"/>
        </w:rPr>
        <w:t>2008</w:t>
      </w:r>
      <w:r w:rsidR="00C13EA1">
        <w:rPr>
          <w:rFonts w:ascii="Tahoma" w:hAnsi="Tahoma" w:cs="Tahoma"/>
          <w:sz w:val="24"/>
          <w:szCs w:val="24"/>
          <w:shd w:val="clear" w:color="auto" w:fill="FFFFFF"/>
        </w:rPr>
        <w:t>,</w:t>
      </w:r>
      <w:proofErr w:type="gramEnd"/>
      <w:r w:rsidR="00C13EA1">
        <w:rPr>
          <w:rFonts w:ascii="Tahoma" w:hAnsi="Tahoma" w:cs="Tahoma"/>
          <w:sz w:val="24"/>
          <w:szCs w:val="24"/>
          <w:shd w:val="clear" w:color="auto" w:fill="FFFFFF"/>
        </w:rPr>
        <w:t xml:space="preserve"> </w:t>
      </w:r>
      <w:r w:rsidR="00C13EA1" w:rsidRPr="00C13EA1">
        <w:rPr>
          <w:rFonts w:ascii="Tahoma" w:hAnsi="Tahoma" w:cs="Tahoma"/>
          <w:sz w:val="24"/>
          <w:szCs w:val="24"/>
          <w:shd w:val="clear" w:color="auto" w:fill="FFFFFF"/>
        </w:rPr>
        <w:t>matters ha</w:t>
      </w:r>
      <w:r w:rsidR="00C13EA1">
        <w:rPr>
          <w:rFonts w:ascii="Tahoma" w:hAnsi="Tahoma" w:cs="Tahoma"/>
          <w:sz w:val="24"/>
          <w:szCs w:val="24"/>
          <w:shd w:val="clear" w:color="auto" w:fill="FFFFFF"/>
        </w:rPr>
        <w:t>ving</w:t>
      </w:r>
      <w:r w:rsidR="00C13EA1" w:rsidRPr="00C13EA1">
        <w:rPr>
          <w:rFonts w:ascii="Tahoma" w:hAnsi="Tahoma" w:cs="Tahoma"/>
          <w:sz w:val="24"/>
          <w:szCs w:val="24"/>
          <w:shd w:val="clear" w:color="auto" w:fill="FFFFFF"/>
        </w:rPr>
        <w:t xml:space="preserve"> </w:t>
      </w:r>
      <w:r w:rsidR="00C13EA1" w:rsidRPr="00C13EA1">
        <w:rPr>
          <w:rFonts w:ascii="Tahoma" w:hAnsi="Tahoma" w:cs="Tahoma"/>
          <w:sz w:val="24"/>
          <w:szCs w:val="24"/>
          <w:shd w:val="clear" w:color="auto" w:fill="FFFFFF"/>
        </w:rPr>
        <w:lastRenderedPageBreak/>
        <w:t xml:space="preserve">been resolved in </w:t>
      </w:r>
      <w:r w:rsidR="00C13EA1">
        <w:rPr>
          <w:rFonts w:ascii="Tahoma" w:hAnsi="Tahoma" w:cs="Tahoma"/>
          <w:sz w:val="24"/>
          <w:szCs w:val="24"/>
          <w:shd w:val="clear" w:color="auto" w:fill="FFFFFF"/>
        </w:rPr>
        <w:t>hi</w:t>
      </w:r>
      <w:r w:rsidR="00C13EA1" w:rsidRPr="00C13EA1">
        <w:rPr>
          <w:rFonts w:ascii="Tahoma" w:hAnsi="Tahoma" w:cs="Tahoma"/>
          <w:sz w:val="24"/>
          <w:szCs w:val="24"/>
          <w:shd w:val="clear" w:color="auto" w:fill="FFFFFF"/>
        </w:rPr>
        <w:t xml:space="preserve">s </w:t>
      </w:r>
      <w:proofErr w:type="spellStart"/>
      <w:r w:rsidR="00C13EA1" w:rsidRPr="00C13EA1">
        <w:rPr>
          <w:rFonts w:ascii="Tahoma" w:hAnsi="Tahoma" w:cs="Tahoma"/>
          <w:sz w:val="24"/>
          <w:szCs w:val="24"/>
          <w:shd w:val="clear" w:color="auto" w:fill="FFFFFF"/>
        </w:rPr>
        <w:t>favour</w:t>
      </w:r>
      <w:proofErr w:type="spellEnd"/>
      <w:r w:rsidR="00C13EA1" w:rsidRPr="00C13EA1">
        <w:rPr>
          <w:rFonts w:ascii="Tahoma" w:hAnsi="Tahoma" w:cs="Tahoma"/>
          <w:sz w:val="24"/>
          <w:szCs w:val="24"/>
          <w:shd w:val="clear" w:color="auto" w:fill="FFFFFF"/>
        </w:rPr>
        <w:t xml:space="preserve">, </w:t>
      </w:r>
      <w:r w:rsidR="00C13EA1">
        <w:rPr>
          <w:rFonts w:ascii="Tahoma" w:hAnsi="Tahoma" w:cs="Tahoma"/>
          <w:sz w:val="24"/>
          <w:szCs w:val="24"/>
          <w:shd w:val="clear" w:color="auto" w:fill="FFFFFF"/>
        </w:rPr>
        <w:t>t</w:t>
      </w:r>
      <w:r w:rsidR="00C13EA1" w:rsidRPr="00C13EA1">
        <w:rPr>
          <w:rFonts w:ascii="Tahoma" w:hAnsi="Tahoma" w:cs="Tahoma"/>
          <w:sz w:val="24"/>
          <w:szCs w:val="24"/>
          <w:shd w:val="clear" w:color="auto" w:fill="FFFFFF"/>
        </w:rPr>
        <w:t xml:space="preserve">he </w:t>
      </w:r>
      <w:r w:rsidR="00C13EA1">
        <w:rPr>
          <w:rFonts w:ascii="Tahoma" w:hAnsi="Tahoma" w:cs="Tahoma"/>
          <w:sz w:val="24"/>
          <w:szCs w:val="24"/>
          <w:shd w:val="clear" w:color="auto" w:fill="FFFFFF"/>
        </w:rPr>
        <w:t xml:space="preserve">appellant </w:t>
      </w:r>
      <w:r w:rsidR="00C13EA1" w:rsidRPr="00C13EA1">
        <w:rPr>
          <w:rFonts w:ascii="Tahoma" w:hAnsi="Tahoma" w:cs="Tahoma"/>
          <w:sz w:val="24"/>
          <w:szCs w:val="24"/>
          <w:shd w:val="clear" w:color="auto" w:fill="FFFFFF"/>
        </w:rPr>
        <w:t xml:space="preserve">paid the outstanding balance </w:t>
      </w:r>
      <w:r w:rsidR="00C13EA1">
        <w:rPr>
          <w:rFonts w:ascii="Tahoma" w:hAnsi="Tahoma" w:cs="Tahoma"/>
          <w:sz w:val="24"/>
          <w:szCs w:val="24"/>
          <w:shd w:val="clear" w:color="auto" w:fill="FFFFFF"/>
        </w:rPr>
        <w:t xml:space="preserve">of </w:t>
      </w:r>
      <w:r w:rsidR="00001DC5">
        <w:rPr>
          <w:rFonts w:ascii="Tahoma" w:hAnsi="Tahoma" w:cs="Tahoma"/>
          <w:sz w:val="24"/>
          <w:szCs w:val="24"/>
          <w:shd w:val="clear" w:color="auto" w:fill="FFFFFF"/>
        </w:rPr>
        <w:t xml:space="preserve">75% </w:t>
      </w:r>
      <w:r w:rsidR="00C13EA1">
        <w:rPr>
          <w:rFonts w:ascii="Tahoma" w:hAnsi="Tahoma" w:cs="Tahoma"/>
          <w:sz w:val="24"/>
          <w:szCs w:val="24"/>
          <w:shd w:val="clear" w:color="auto" w:fill="FFFFFF"/>
        </w:rPr>
        <w:t xml:space="preserve">the purchase price, </w:t>
      </w:r>
      <w:r w:rsidR="00C13EA1" w:rsidRPr="00C13EA1">
        <w:rPr>
          <w:rFonts w:ascii="Tahoma" w:hAnsi="Tahoma" w:cs="Tahoma"/>
          <w:sz w:val="24"/>
          <w:szCs w:val="24"/>
          <w:shd w:val="clear" w:color="auto" w:fill="FFFFFF"/>
        </w:rPr>
        <w:t xml:space="preserve">with interest. On 18 April 2008 a judicial sale transport was passed in his </w:t>
      </w:r>
      <w:proofErr w:type="spellStart"/>
      <w:r w:rsidR="00C13EA1" w:rsidRPr="00C13EA1">
        <w:rPr>
          <w:rFonts w:ascii="Tahoma" w:hAnsi="Tahoma" w:cs="Tahoma"/>
          <w:sz w:val="24"/>
          <w:szCs w:val="24"/>
          <w:shd w:val="clear" w:color="auto" w:fill="FFFFFF"/>
        </w:rPr>
        <w:t>favour</w:t>
      </w:r>
      <w:proofErr w:type="spellEnd"/>
      <w:r w:rsidR="00C13EA1" w:rsidRPr="00C13EA1">
        <w:rPr>
          <w:rFonts w:ascii="Tahoma" w:hAnsi="Tahoma" w:cs="Tahoma"/>
          <w:sz w:val="24"/>
          <w:szCs w:val="24"/>
          <w:shd w:val="clear" w:color="auto" w:fill="FFFFFF"/>
        </w:rPr>
        <w:t xml:space="preserve"> conferring</w:t>
      </w:r>
      <w:r w:rsidR="00C13EA1">
        <w:rPr>
          <w:rFonts w:ascii="Tahoma" w:hAnsi="Tahoma" w:cs="Tahoma"/>
          <w:sz w:val="24"/>
          <w:szCs w:val="24"/>
          <w:shd w:val="clear" w:color="auto" w:fill="FFFFFF"/>
        </w:rPr>
        <w:t xml:space="preserve"> on him</w:t>
      </w:r>
      <w:r w:rsidR="00C13EA1" w:rsidRPr="00C13EA1">
        <w:rPr>
          <w:rFonts w:ascii="Tahoma" w:hAnsi="Tahoma" w:cs="Tahoma"/>
          <w:sz w:val="24"/>
          <w:szCs w:val="24"/>
          <w:shd w:val="clear" w:color="auto" w:fill="FFFFFF"/>
        </w:rPr>
        <w:t xml:space="preserve"> full and absolute title</w:t>
      </w:r>
      <w:r w:rsidR="00C13EA1">
        <w:rPr>
          <w:rFonts w:ascii="Tahoma" w:hAnsi="Tahoma" w:cs="Tahoma"/>
          <w:sz w:val="24"/>
          <w:szCs w:val="24"/>
          <w:shd w:val="clear" w:color="auto" w:fill="FFFFFF"/>
        </w:rPr>
        <w:t xml:space="preserve"> in accordance with the applicable legislation.</w:t>
      </w:r>
      <w:r w:rsidR="00693F48">
        <w:rPr>
          <w:rFonts w:ascii="Tahoma" w:eastAsia="Times New Roman" w:hAnsi="Tahoma" w:cs="Tahoma"/>
          <w:sz w:val="24"/>
          <w:szCs w:val="24"/>
          <w:lang w:val="en-JM" w:eastAsia="en-JM"/>
        </w:rPr>
        <w:t xml:space="preserve"> Yet further proceedings brought by the respondents to set aside </w:t>
      </w:r>
      <w:r w:rsidR="00693F48" w:rsidRPr="00693F48">
        <w:rPr>
          <w:rFonts w:ascii="Tahoma" w:eastAsia="Times New Roman" w:hAnsi="Tahoma" w:cs="Tahoma"/>
          <w:sz w:val="24"/>
          <w:szCs w:val="24"/>
          <w:lang w:val="en-JM" w:eastAsia="en-JM"/>
        </w:rPr>
        <w:t>the</w:t>
      </w:r>
      <w:r w:rsidR="00693F48">
        <w:rPr>
          <w:rFonts w:ascii="Tahoma" w:eastAsia="Times New Roman" w:hAnsi="Tahoma" w:cs="Tahoma"/>
          <w:sz w:val="24"/>
          <w:szCs w:val="24"/>
          <w:lang w:val="en-JM" w:eastAsia="en-JM"/>
        </w:rPr>
        <w:t xml:space="preserve"> sale</w:t>
      </w:r>
      <w:r w:rsidR="00693F48" w:rsidRPr="00693F48">
        <w:rPr>
          <w:rFonts w:ascii="Tahoma" w:eastAsia="Times New Roman" w:hAnsi="Tahoma" w:cs="Tahoma"/>
          <w:sz w:val="24"/>
          <w:szCs w:val="24"/>
          <w:lang w:val="en-JM" w:eastAsia="en-JM"/>
        </w:rPr>
        <w:t xml:space="preserve"> </w:t>
      </w:r>
      <w:r w:rsidR="00693F48">
        <w:rPr>
          <w:rFonts w:ascii="Tahoma" w:eastAsia="Times New Roman" w:hAnsi="Tahoma" w:cs="Tahoma"/>
          <w:sz w:val="24"/>
          <w:szCs w:val="24"/>
          <w:lang w:val="en-JM" w:eastAsia="en-JM"/>
        </w:rPr>
        <w:t xml:space="preserve">to the appellant were finally discontinued by them by </w:t>
      </w:r>
      <w:r w:rsidR="00C27847">
        <w:rPr>
          <w:rFonts w:ascii="Tahoma" w:eastAsia="Times New Roman" w:hAnsi="Tahoma" w:cs="Tahoma"/>
          <w:sz w:val="24"/>
          <w:szCs w:val="24"/>
          <w:lang w:val="en-JM" w:eastAsia="en-JM"/>
        </w:rPr>
        <w:t xml:space="preserve">the </w:t>
      </w:r>
      <w:r w:rsidR="00693F48">
        <w:rPr>
          <w:rFonts w:ascii="Tahoma" w:eastAsia="Times New Roman" w:hAnsi="Tahoma" w:cs="Tahoma"/>
          <w:sz w:val="24"/>
          <w:szCs w:val="24"/>
          <w:lang w:val="en-JM" w:eastAsia="en-JM"/>
        </w:rPr>
        <w:t>leave</w:t>
      </w:r>
      <w:r w:rsidR="00C27847">
        <w:rPr>
          <w:rFonts w:ascii="Tahoma" w:eastAsia="Times New Roman" w:hAnsi="Tahoma" w:cs="Tahoma"/>
          <w:sz w:val="24"/>
          <w:szCs w:val="24"/>
          <w:lang w:val="en-JM" w:eastAsia="en-JM"/>
        </w:rPr>
        <w:t xml:space="preserve"> of the court</w:t>
      </w:r>
      <w:r w:rsidR="00693F48">
        <w:rPr>
          <w:rFonts w:ascii="Tahoma" w:eastAsia="Times New Roman" w:hAnsi="Tahoma" w:cs="Tahoma"/>
          <w:sz w:val="24"/>
          <w:szCs w:val="24"/>
          <w:lang w:val="en-JM" w:eastAsia="en-JM"/>
        </w:rPr>
        <w:t xml:space="preserve"> granted on </w:t>
      </w:r>
      <w:r w:rsidR="00693F48" w:rsidRPr="00693F48">
        <w:rPr>
          <w:rFonts w:ascii="Tahoma" w:eastAsia="Times New Roman" w:hAnsi="Tahoma" w:cs="Tahoma"/>
          <w:sz w:val="24"/>
          <w:szCs w:val="24"/>
          <w:lang w:val="en-JM" w:eastAsia="en-JM"/>
        </w:rPr>
        <w:t>11</w:t>
      </w:r>
      <w:r w:rsidR="00693F48">
        <w:rPr>
          <w:rFonts w:ascii="Tahoma" w:eastAsia="Times New Roman" w:hAnsi="Tahoma" w:cs="Tahoma"/>
          <w:sz w:val="24"/>
          <w:szCs w:val="24"/>
          <w:lang w:val="en-JM" w:eastAsia="en-JM"/>
        </w:rPr>
        <w:t xml:space="preserve"> </w:t>
      </w:r>
      <w:r w:rsidR="00693F48" w:rsidRPr="00693F48">
        <w:rPr>
          <w:rFonts w:ascii="Tahoma" w:eastAsia="Times New Roman" w:hAnsi="Tahoma" w:cs="Tahoma"/>
          <w:sz w:val="24"/>
          <w:szCs w:val="24"/>
          <w:lang w:val="en-JM" w:eastAsia="en-JM"/>
        </w:rPr>
        <w:t>December 2008</w:t>
      </w:r>
      <w:r w:rsidR="00693F48">
        <w:rPr>
          <w:rFonts w:ascii="Tahoma" w:eastAsia="Times New Roman" w:hAnsi="Tahoma" w:cs="Tahoma"/>
          <w:sz w:val="24"/>
          <w:szCs w:val="24"/>
          <w:lang w:val="en-JM" w:eastAsia="en-JM"/>
        </w:rPr>
        <w:t>.</w:t>
      </w:r>
      <w:r w:rsidR="00693F48" w:rsidRPr="00693F48">
        <w:rPr>
          <w:rFonts w:ascii="Tahoma" w:eastAsia="Times New Roman" w:hAnsi="Tahoma" w:cs="Tahoma"/>
          <w:sz w:val="24"/>
          <w:szCs w:val="24"/>
          <w:lang w:val="en-JM" w:eastAsia="en-JM"/>
        </w:rPr>
        <w:t xml:space="preserve"> </w:t>
      </w:r>
    </w:p>
    <w:p w:rsidR="00644ABE" w:rsidRDefault="00644ABE" w:rsidP="00371680">
      <w:pPr>
        <w:spacing w:line="480" w:lineRule="auto"/>
        <w:jc w:val="both"/>
        <w:rPr>
          <w:rFonts w:ascii="Tahoma" w:eastAsia="Times New Roman" w:hAnsi="Tahoma" w:cs="Tahoma"/>
          <w:sz w:val="24"/>
          <w:szCs w:val="24"/>
          <w:lang w:val="en-JM" w:eastAsia="en-JM"/>
        </w:rPr>
      </w:pPr>
      <w:r>
        <w:rPr>
          <w:rFonts w:ascii="Tahoma" w:eastAsia="Times New Roman" w:hAnsi="Tahoma" w:cs="Tahoma"/>
          <w:sz w:val="24"/>
          <w:szCs w:val="24"/>
          <w:lang w:val="en-JM" w:eastAsia="en-JM"/>
        </w:rPr>
        <w:t xml:space="preserve">59.   At issue in the later proceedings which the appellant was obliged to take against the respondents for an order for possession of the property were </w:t>
      </w:r>
      <w:r w:rsidRPr="00644ABE">
        <w:rPr>
          <w:rFonts w:ascii="Tahoma" w:hAnsi="Tahoma" w:cs="Tahoma"/>
          <w:sz w:val="24"/>
          <w:szCs w:val="24"/>
        </w:rPr>
        <w:t>the circumstances of the appellant’s non-compliance with</w:t>
      </w:r>
      <w:r>
        <w:t xml:space="preserve"> </w:t>
      </w:r>
      <w:r w:rsidRPr="00644ABE">
        <w:rPr>
          <w:rFonts w:ascii="Tahoma" w:eastAsia="Times New Roman" w:hAnsi="Tahoma" w:cs="Tahoma"/>
          <w:sz w:val="24"/>
          <w:szCs w:val="24"/>
          <w:lang w:val="en-JM" w:eastAsia="en-JM"/>
        </w:rPr>
        <w:t>the two month</w:t>
      </w:r>
      <w:r w:rsidR="00371680">
        <w:rPr>
          <w:rFonts w:ascii="Tahoma" w:eastAsia="Times New Roman" w:hAnsi="Tahoma" w:cs="Tahoma"/>
          <w:sz w:val="24"/>
          <w:szCs w:val="24"/>
          <w:lang w:val="en-JM" w:eastAsia="en-JM"/>
        </w:rPr>
        <w:t>ly</w:t>
      </w:r>
      <w:r w:rsidRPr="00644ABE">
        <w:rPr>
          <w:rFonts w:ascii="Tahoma" w:eastAsia="Times New Roman" w:hAnsi="Tahoma" w:cs="Tahoma"/>
          <w:sz w:val="24"/>
          <w:szCs w:val="24"/>
          <w:lang w:val="en-JM" w:eastAsia="en-JM"/>
        </w:rPr>
        <w:t xml:space="preserve"> time limit</w:t>
      </w:r>
      <w:r w:rsidR="00371680">
        <w:rPr>
          <w:rFonts w:ascii="Tahoma" w:eastAsia="Times New Roman" w:hAnsi="Tahoma" w:cs="Tahoma"/>
          <w:sz w:val="24"/>
          <w:szCs w:val="24"/>
          <w:lang w:val="en-JM" w:eastAsia="en-JM"/>
        </w:rPr>
        <w:t>s</w:t>
      </w:r>
      <w:r w:rsidRPr="00644ABE">
        <w:rPr>
          <w:rFonts w:ascii="Tahoma" w:eastAsia="Times New Roman" w:hAnsi="Tahoma" w:cs="Tahoma"/>
          <w:sz w:val="24"/>
          <w:szCs w:val="24"/>
          <w:lang w:val="en-JM" w:eastAsia="en-JM"/>
        </w:rPr>
        <w:t xml:space="preserve"> for payment of the balance of the purchase price</w:t>
      </w:r>
      <w:r>
        <w:rPr>
          <w:rFonts w:ascii="Tahoma" w:eastAsia="Times New Roman" w:hAnsi="Tahoma" w:cs="Tahoma"/>
          <w:sz w:val="24"/>
          <w:szCs w:val="24"/>
          <w:lang w:val="en-JM" w:eastAsia="en-JM"/>
        </w:rPr>
        <w:t xml:space="preserve">, it being common ground that </w:t>
      </w:r>
      <w:r w:rsidR="00371680">
        <w:rPr>
          <w:rFonts w:ascii="Tahoma" w:eastAsia="Times New Roman" w:hAnsi="Tahoma" w:cs="Tahoma"/>
          <w:sz w:val="24"/>
          <w:szCs w:val="24"/>
          <w:lang w:val="en-JM" w:eastAsia="en-JM"/>
        </w:rPr>
        <w:t>the p</w:t>
      </w:r>
      <w:r w:rsidRPr="00644ABE">
        <w:rPr>
          <w:rFonts w:ascii="Tahoma" w:eastAsia="Times New Roman" w:hAnsi="Tahoma" w:cs="Tahoma"/>
          <w:sz w:val="24"/>
          <w:szCs w:val="24"/>
          <w:lang w:val="en-JM" w:eastAsia="en-JM"/>
        </w:rPr>
        <w:t xml:space="preserve">ayment was </w:t>
      </w:r>
      <w:r w:rsidR="00371680">
        <w:rPr>
          <w:rFonts w:ascii="Tahoma" w:eastAsia="Times New Roman" w:hAnsi="Tahoma" w:cs="Tahoma"/>
          <w:sz w:val="24"/>
          <w:szCs w:val="24"/>
          <w:lang w:val="en-JM" w:eastAsia="en-JM"/>
        </w:rPr>
        <w:t xml:space="preserve">not in fact </w:t>
      </w:r>
      <w:r w:rsidRPr="00644ABE">
        <w:rPr>
          <w:rFonts w:ascii="Tahoma" w:eastAsia="Times New Roman" w:hAnsi="Tahoma" w:cs="Tahoma"/>
          <w:sz w:val="24"/>
          <w:szCs w:val="24"/>
          <w:lang w:val="en-JM" w:eastAsia="en-JM"/>
        </w:rPr>
        <w:t>made until 15 April</w:t>
      </w:r>
      <w:r w:rsidR="00371680">
        <w:rPr>
          <w:rFonts w:ascii="Tahoma" w:eastAsia="Times New Roman" w:hAnsi="Tahoma" w:cs="Tahoma"/>
          <w:sz w:val="24"/>
          <w:szCs w:val="24"/>
          <w:lang w:val="en-JM" w:eastAsia="en-JM"/>
        </w:rPr>
        <w:t xml:space="preserve"> </w:t>
      </w:r>
      <w:r w:rsidRPr="00644ABE">
        <w:rPr>
          <w:rFonts w:ascii="Tahoma" w:eastAsia="Times New Roman" w:hAnsi="Tahoma" w:cs="Tahoma"/>
          <w:sz w:val="24"/>
          <w:szCs w:val="24"/>
          <w:lang w:val="en-JM" w:eastAsia="en-JM"/>
        </w:rPr>
        <w:t xml:space="preserve">2008, nearly </w:t>
      </w:r>
      <w:r w:rsidR="00371680">
        <w:rPr>
          <w:rFonts w:ascii="Tahoma" w:eastAsia="Times New Roman" w:hAnsi="Tahoma" w:cs="Tahoma"/>
          <w:sz w:val="24"/>
          <w:szCs w:val="24"/>
          <w:lang w:val="en-JM" w:eastAsia="en-JM"/>
        </w:rPr>
        <w:t>41</w:t>
      </w:r>
      <w:r w:rsidRPr="00644ABE">
        <w:rPr>
          <w:rFonts w:ascii="Tahoma" w:eastAsia="Times New Roman" w:hAnsi="Tahoma" w:cs="Tahoma"/>
          <w:sz w:val="24"/>
          <w:szCs w:val="24"/>
          <w:lang w:val="en-JM" w:eastAsia="en-JM"/>
        </w:rPr>
        <w:t xml:space="preserve"> months after the time when the first 25% instalment fell </w:t>
      </w:r>
      <w:r w:rsidR="00371680">
        <w:rPr>
          <w:rFonts w:ascii="Tahoma" w:eastAsia="Times New Roman" w:hAnsi="Tahoma" w:cs="Tahoma"/>
          <w:sz w:val="24"/>
          <w:szCs w:val="24"/>
          <w:lang w:val="en-JM" w:eastAsia="en-JM"/>
        </w:rPr>
        <w:t>due.</w:t>
      </w:r>
      <w:r w:rsidRPr="00644ABE">
        <w:rPr>
          <w:rFonts w:ascii="Tahoma" w:eastAsia="Times New Roman" w:hAnsi="Tahoma" w:cs="Tahoma"/>
          <w:sz w:val="24"/>
          <w:szCs w:val="24"/>
          <w:lang w:val="en-JM" w:eastAsia="en-JM"/>
        </w:rPr>
        <w:t xml:space="preserve"> </w:t>
      </w:r>
      <w:r w:rsidR="00371680">
        <w:rPr>
          <w:rFonts w:ascii="Tahoma" w:eastAsia="Times New Roman" w:hAnsi="Tahoma" w:cs="Tahoma"/>
          <w:sz w:val="24"/>
          <w:szCs w:val="24"/>
          <w:lang w:val="en-JM" w:eastAsia="en-JM"/>
        </w:rPr>
        <w:t>Nor had any order for</w:t>
      </w:r>
      <w:r w:rsidRPr="00644ABE">
        <w:rPr>
          <w:rFonts w:ascii="Tahoma" w:eastAsia="Times New Roman" w:hAnsi="Tahoma" w:cs="Tahoma"/>
          <w:sz w:val="24"/>
          <w:szCs w:val="24"/>
          <w:lang w:val="en-JM" w:eastAsia="en-JM"/>
        </w:rPr>
        <w:t xml:space="preserve"> extension of the time for payment </w:t>
      </w:r>
      <w:r w:rsidR="00371680">
        <w:rPr>
          <w:rFonts w:ascii="Tahoma" w:eastAsia="Times New Roman" w:hAnsi="Tahoma" w:cs="Tahoma"/>
          <w:sz w:val="24"/>
          <w:szCs w:val="24"/>
          <w:lang w:val="en-JM" w:eastAsia="en-JM"/>
        </w:rPr>
        <w:t xml:space="preserve">been </w:t>
      </w:r>
      <w:r w:rsidRPr="00644ABE">
        <w:rPr>
          <w:rFonts w:ascii="Tahoma" w:eastAsia="Times New Roman" w:hAnsi="Tahoma" w:cs="Tahoma"/>
          <w:sz w:val="24"/>
          <w:szCs w:val="24"/>
          <w:lang w:val="en-JM" w:eastAsia="en-JM"/>
        </w:rPr>
        <w:t xml:space="preserve">obtained </w:t>
      </w:r>
      <w:r w:rsidR="00371680">
        <w:rPr>
          <w:rFonts w:ascii="Tahoma" w:eastAsia="Times New Roman" w:hAnsi="Tahoma" w:cs="Tahoma"/>
          <w:sz w:val="24"/>
          <w:szCs w:val="24"/>
          <w:lang w:val="en-JM" w:eastAsia="en-JM"/>
        </w:rPr>
        <w:t>from the c</w:t>
      </w:r>
      <w:r w:rsidRPr="00644ABE">
        <w:rPr>
          <w:rFonts w:ascii="Tahoma" w:eastAsia="Times New Roman" w:hAnsi="Tahoma" w:cs="Tahoma"/>
          <w:sz w:val="24"/>
          <w:szCs w:val="24"/>
          <w:lang w:val="en-JM" w:eastAsia="en-JM"/>
        </w:rPr>
        <w:t>ourt.</w:t>
      </w:r>
      <w:r w:rsidR="00371680">
        <w:rPr>
          <w:rFonts w:ascii="Tahoma" w:eastAsia="Times New Roman" w:hAnsi="Tahoma" w:cs="Tahoma"/>
          <w:sz w:val="24"/>
          <w:szCs w:val="24"/>
          <w:lang w:val="en-JM" w:eastAsia="en-JM"/>
        </w:rPr>
        <w:t xml:space="preserve"> At first instance, Chang CJ (Ag) found that the appellant </w:t>
      </w:r>
      <w:r w:rsidR="00556A6F">
        <w:rPr>
          <w:rFonts w:ascii="Tahoma" w:eastAsia="Times New Roman" w:hAnsi="Tahoma" w:cs="Tahoma"/>
          <w:sz w:val="24"/>
          <w:szCs w:val="24"/>
          <w:lang w:val="en-JM" w:eastAsia="en-JM"/>
        </w:rPr>
        <w:t>had</w:t>
      </w:r>
      <w:r w:rsidR="00371680" w:rsidRPr="00371680">
        <w:rPr>
          <w:rFonts w:ascii="Tahoma" w:eastAsia="Times New Roman" w:hAnsi="Tahoma" w:cs="Tahoma"/>
          <w:sz w:val="24"/>
          <w:szCs w:val="24"/>
          <w:lang w:val="en-JM" w:eastAsia="en-JM"/>
        </w:rPr>
        <w:t xml:space="preserve"> offer</w:t>
      </w:r>
      <w:r w:rsidR="00556A6F">
        <w:rPr>
          <w:rFonts w:ascii="Tahoma" w:eastAsia="Times New Roman" w:hAnsi="Tahoma" w:cs="Tahoma"/>
          <w:sz w:val="24"/>
          <w:szCs w:val="24"/>
          <w:lang w:val="en-JM" w:eastAsia="en-JM"/>
        </w:rPr>
        <w:t>ed</w:t>
      </w:r>
      <w:r w:rsidR="00371680" w:rsidRPr="00371680">
        <w:rPr>
          <w:rFonts w:ascii="Tahoma" w:eastAsia="Times New Roman" w:hAnsi="Tahoma" w:cs="Tahoma"/>
          <w:sz w:val="24"/>
          <w:szCs w:val="24"/>
          <w:lang w:val="en-JM" w:eastAsia="en-JM"/>
        </w:rPr>
        <w:t xml:space="preserve"> to pay the entire balance of 75% of the sale purchase price within two months of payment of the initial deposit and that the office of the Registrar had </w:t>
      </w:r>
      <w:r w:rsidR="00371680">
        <w:rPr>
          <w:rFonts w:ascii="Tahoma" w:eastAsia="Times New Roman" w:hAnsi="Tahoma" w:cs="Tahoma"/>
          <w:sz w:val="24"/>
          <w:szCs w:val="24"/>
          <w:lang w:val="en-JM" w:eastAsia="en-JM"/>
        </w:rPr>
        <w:t>wrongfully omitted “</w:t>
      </w:r>
      <w:r w:rsidR="00371680" w:rsidRPr="00371680">
        <w:rPr>
          <w:rFonts w:ascii="Tahoma" w:eastAsia="Times New Roman" w:hAnsi="Tahoma" w:cs="Tahoma"/>
          <w:sz w:val="24"/>
          <w:szCs w:val="24"/>
          <w:lang w:val="en-JM" w:eastAsia="en-JM"/>
        </w:rPr>
        <w:t>to perform its official duty to</w:t>
      </w:r>
      <w:r w:rsidR="00371680">
        <w:rPr>
          <w:rFonts w:ascii="Tahoma" w:eastAsia="Times New Roman" w:hAnsi="Tahoma" w:cs="Tahoma"/>
          <w:sz w:val="24"/>
          <w:szCs w:val="24"/>
          <w:lang w:val="en-JM" w:eastAsia="en-JM"/>
        </w:rPr>
        <w:t xml:space="preserve"> </w:t>
      </w:r>
      <w:r w:rsidR="00371680" w:rsidRPr="00371680">
        <w:rPr>
          <w:rFonts w:ascii="Tahoma" w:eastAsia="Times New Roman" w:hAnsi="Tahoma" w:cs="Tahoma"/>
          <w:sz w:val="24"/>
          <w:szCs w:val="24"/>
          <w:lang w:val="en-JM" w:eastAsia="en-JM"/>
        </w:rPr>
        <w:t>accept payment from the said purchaser within the prescribed time frames”</w:t>
      </w:r>
      <w:r w:rsidR="00556A6F">
        <w:rPr>
          <w:rFonts w:ascii="Tahoma" w:eastAsia="Times New Roman" w:hAnsi="Tahoma" w:cs="Tahoma"/>
          <w:sz w:val="24"/>
          <w:szCs w:val="24"/>
          <w:lang w:val="en-JM" w:eastAsia="en-JM"/>
        </w:rPr>
        <w:t xml:space="preserve">. This was, the learned Chief Justice held, </w:t>
      </w:r>
      <w:r w:rsidR="00371680" w:rsidRPr="00371680">
        <w:rPr>
          <w:rFonts w:ascii="Tahoma" w:eastAsia="Times New Roman" w:hAnsi="Tahoma" w:cs="Tahoma"/>
          <w:sz w:val="24"/>
          <w:szCs w:val="24"/>
          <w:lang w:val="en-JM" w:eastAsia="en-JM"/>
        </w:rPr>
        <w:t xml:space="preserve">“no more than an </w:t>
      </w:r>
      <w:r w:rsidR="00371680" w:rsidRPr="00556A6F">
        <w:rPr>
          <w:rFonts w:ascii="Tahoma" w:eastAsia="Times New Roman" w:hAnsi="Tahoma" w:cs="Tahoma"/>
          <w:sz w:val="24"/>
          <w:szCs w:val="24"/>
          <w:lang w:val="en-JM" w:eastAsia="en-JM"/>
        </w:rPr>
        <w:t>irregularity which can be waived by</w:t>
      </w:r>
      <w:r w:rsidR="00371680" w:rsidRPr="00371680">
        <w:rPr>
          <w:rFonts w:ascii="Tahoma" w:eastAsia="Times New Roman" w:hAnsi="Tahoma" w:cs="Tahoma"/>
          <w:sz w:val="24"/>
          <w:szCs w:val="24"/>
          <w:lang w:val="en-JM" w:eastAsia="en-JM"/>
        </w:rPr>
        <w:t xml:space="preserve"> the execution sale purchaser”</w:t>
      </w:r>
      <w:r w:rsidR="00556A6F">
        <w:rPr>
          <w:rFonts w:ascii="Tahoma" w:eastAsia="Times New Roman" w:hAnsi="Tahoma" w:cs="Tahoma"/>
          <w:sz w:val="24"/>
          <w:szCs w:val="24"/>
          <w:lang w:val="en-JM" w:eastAsia="en-JM"/>
        </w:rPr>
        <w:t xml:space="preserve"> and it was in fact waived when the appellant’s</w:t>
      </w:r>
      <w:r w:rsidR="00371680" w:rsidRPr="00371680">
        <w:rPr>
          <w:rFonts w:ascii="Tahoma" w:eastAsia="Times New Roman" w:hAnsi="Tahoma" w:cs="Tahoma"/>
          <w:sz w:val="24"/>
          <w:szCs w:val="24"/>
          <w:lang w:val="en-JM" w:eastAsia="en-JM"/>
        </w:rPr>
        <w:t xml:space="preserve"> payment was</w:t>
      </w:r>
      <w:r w:rsidR="00556A6F">
        <w:rPr>
          <w:rFonts w:ascii="Tahoma" w:eastAsia="Times New Roman" w:hAnsi="Tahoma" w:cs="Tahoma"/>
          <w:sz w:val="24"/>
          <w:szCs w:val="24"/>
          <w:lang w:val="en-JM" w:eastAsia="en-JM"/>
        </w:rPr>
        <w:t xml:space="preserve"> finally accepted </w:t>
      </w:r>
      <w:r w:rsidR="00371680" w:rsidRPr="00371680">
        <w:rPr>
          <w:rFonts w:ascii="Tahoma" w:eastAsia="Times New Roman" w:hAnsi="Tahoma" w:cs="Tahoma"/>
          <w:sz w:val="24"/>
          <w:szCs w:val="24"/>
          <w:lang w:val="en-JM" w:eastAsia="en-JM"/>
        </w:rPr>
        <w:t xml:space="preserve">on 15 April 2008. Thus the </w:t>
      </w:r>
      <w:r w:rsidR="00556A6F">
        <w:rPr>
          <w:rFonts w:ascii="Tahoma" w:eastAsia="Times New Roman" w:hAnsi="Tahoma" w:cs="Tahoma"/>
          <w:sz w:val="24"/>
          <w:szCs w:val="24"/>
          <w:lang w:val="en-JM" w:eastAsia="en-JM"/>
        </w:rPr>
        <w:t>appellant had duly become the owner of the property on 18 April 2008.</w:t>
      </w:r>
    </w:p>
    <w:p w:rsidR="00556A6F" w:rsidRDefault="00556A6F" w:rsidP="00556A6F">
      <w:pPr>
        <w:spacing w:line="480" w:lineRule="auto"/>
        <w:jc w:val="both"/>
        <w:rPr>
          <w:rFonts w:ascii="Tahoma" w:eastAsia="Times New Roman" w:hAnsi="Tahoma" w:cs="Tahoma"/>
          <w:sz w:val="24"/>
          <w:szCs w:val="24"/>
          <w:lang w:val="en-JM" w:eastAsia="en-JM"/>
        </w:rPr>
      </w:pPr>
      <w:r>
        <w:rPr>
          <w:rFonts w:ascii="Tahoma" w:eastAsia="Times New Roman" w:hAnsi="Tahoma" w:cs="Tahoma"/>
          <w:sz w:val="24"/>
          <w:szCs w:val="24"/>
          <w:lang w:val="en-JM" w:eastAsia="en-JM"/>
        </w:rPr>
        <w:t xml:space="preserve">60.   </w:t>
      </w:r>
      <w:r w:rsidRPr="00556A6F">
        <w:rPr>
          <w:rFonts w:ascii="Tahoma" w:eastAsia="Times New Roman" w:hAnsi="Tahoma" w:cs="Tahoma"/>
          <w:sz w:val="24"/>
          <w:szCs w:val="24"/>
          <w:lang w:val="en-JM" w:eastAsia="en-JM"/>
        </w:rPr>
        <w:t xml:space="preserve">The Court of Appeal allowed the </w:t>
      </w:r>
      <w:r w:rsidR="002E17E9">
        <w:rPr>
          <w:rFonts w:ascii="Tahoma" w:eastAsia="Times New Roman" w:hAnsi="Tahoma" w:cs="Tahoma"/>
          <w:sz w:val="24"/>
          <w:szCs w:val="24"/>
          <w:lang w:val="en-JM" w:eastAsia="en-JM"/>
        </w:rPr>
        <w:t xml:space="preserve">respondents’ </w:t>
      </w:r>
      <w:r w:rsidRPr="00556A6F">
        <w:rPr>
          <w:rFonts w:ascii="Tahoma" w:eastAsia="Times New Roman" w:hAnsi="Tahoma" w:cs="Tahoma"/>
          <w:sz w:val="24"/>
          <w:szCs w:val="24"/>
          <w:lang w:val="en-JM" w:eastAsia="en-JM"/>
        </w:rPr>
        <w:t xml:space="preserve">appeal </w:t>
      </w:r>
      <w:r w:rsidR="002E17E9">
        <w:rPr>
          <w:rFonts w:ascii="Tahoma" w:eastAsia="Times New Roman" w:hAnsi="Tahoma" w:cs="Tahoma"/>
          <w:sz w:val="24"/>
          <w:szCs w:val="24"/>
          <w:lang w:val="en-JM" w:eastAsia="en-JM"/>
        </w:rPr>
        <w:t xml:space="preserve">from this judgment </w:t>
      </w:r>
      <w:r w:rsidRPr="00556A6F">
        <w:rPr>
          <w:rFonts w:ascii="Tahoma" w:eastAsia="Times New Roman" w:hAnsi="Tahoma" w:cs="Tahoma"/>
          <w:sz w:val="24"/>
          <w:szCs w:val="24"/>
          <w:lang w:val="en-JM" w:eastAsia="en-JM"/>
        </w:rPr>
        <w:t>and vacated the orders of Chang CJ (Ag).</w:t>
      </w:r>
      <w:r>
        <w:rPr>
          <w:rFonts w:ascii="Tahoma" w:eastAsia="Times New Roman" w:hAnsi="Tahoma" w:cs="Tahoma"/>
          <w:sz w:val="24"/>
          <w:szCs w:val="24"/>
          <w:lang w:val="en-JM" w:eastAsia="en-JM"/>
        </w:rPr>
        <w:t xml:space="preserve"> </w:t>
      </w:r>
      <w:r w:rsidR="002E17E9">
        <w:rPr>
          <w:rFonts w:ascii="Tahoma" w:eastAsia="Times New Roman" w:hAnsi="Tahoma" w:cs="Tahoma"/>
          <w:sz w:val="24"/>
          <w:szCs w:val="24"/>
          <w:lang w:val="en-JM" w:eastAsia="en-JM"/>
        </w:rPr>
        <w:t>The court’</w:t>
      </w:r>
      <w:r>
        <w:rPr>
          <w:rFonts w:ascii="Tahoma" w:eastAsia="Times New Roman" w:hAnsi="Tahoma" w:cs="Tahoma"/>
          <w:sz w:val="24"/>
          <w:szCs w:val="24"/>
          <w:lang w:val="en-JM" w:eastAsia="en-JM"/>
        </w:rPr>
        <w:t>s key finding was that the appellant’s</w:t>
      </w:r>
      <w:r w:rsidRPr="00556A6F">
        <w:rPr>
          <w:rFonts w:ascii="Tahoma" w:eastAsia="Times New Roman" w:hAnsi="Tahoma" w:cs="Tahoma"/>
          <w:sz w:val="24"/>
          <w:szCs w:val="24"/>
          <w:lang w:val="en-JM" w:eastAsia="en-JM"/>
        </w:rPr>
        <w:t xml:space="preserve"> </w:t>
      </w:r>
      <w:r w:rsidRPr="00556A6F">
        <w:rPr>
          <w:rFonts w:ascii="Tahoma" w:eastAsia="Times New Roman" w:hAnsi="Tahoma" w:cs="Tahoma"/>
          <w:sz w:val="24"/>
          <w:szCs w:val="24"/>
          <w:lang w:val="en-JM" w:eastAsia="en-JM"/>
        </w:rPr>
        <w:lastRenderedPageBreak/>
        <w:t>evidence that he had offered to pay the outstanding balance before 28 November 2008</w:t>
      </w:r>
      <w:r w:rsidR="00C27847">
        <w:rPr>
          <w:rFonts w:ascii="Tahoma" w:eastAsia="Times New Roman" w:hAnsi="Tahoma" w:cs="Tahoma"/>
          <w:sz w:val="24"/>
          <w:szCs w:val="24"/>
          <w:lang w:val="en-JM" w:eastAsia="en-JM"/>
        </w:rPr>
        <w:t>,</w:t>
      </w:r>
      <w:r w:rsidRPr="00556A6F">
        <w:rPr>
          <w:rFonts w:ascii="Tahoma" w:eastAsia="Times New Roman" w:hAnsi="Tahoma" w:cs="Tahoma"/>
          <w:sz w:val="24"/>
          <w:szCs w:val="24"/>
          <w:lang w:val="en-JM" w:eastAsia="en-JM"/>
        </w:rPr>
        <w:t xml:space="preserve"> but was told by someone at the Registrar</w:t>
      </w:r>
      <w:r>
        <w:rPr>
          <w:rFonts w:ascii="Tahoma" w:eastAsia="Times New Roman" w:hAnsi="Tahoma" w:cs="Tahoma"/>
          <w:sz w:val="24"/>
          <w:szCs w:val="24"/>
          <w:lang w:val="en-JM" w:eastAsia="en-JM"/>
        </w:rPr>
        <w:t xml:space="preserve">’s </w:t>
      </w:r>
      <w:r w:rsidRPr="00556A6F">
        <w:rPr>
          <w:rFonts w:ascii="Tahoma" w:eastAsia="Times New Roman" w:hAnsi="Tahoma" w:cs="Tahoma"/>
          <w:sz w:val="24"/>
          <w:szCs w:val="24"/>
          <w:lang w:val="en-JM" w:eastAsia="en-JM"/>
        </w:rPr>
        <w:t>office that the payment could not be acc</w:t>
      </w:r>
      <w:r>
        <w:rPr>
          <w:rFonts w:ascii="Tahoma" w:eastAsia="Times New Roman" w:hAnsi="Tahoma" w:cs="Tahoma"/>
          <w:sz w:val="24"/>
          <w:szCs w:val="24"/>
          <w:lang w:val="en-JM" w:eastAsia="en-JM"/>
        </w:rPr>
        <w:t xml:space="preserve">epted because of pending legal </w:t>
      </w:r>
      <w:r w:rsidRPr="00556A6F">
        <w:rPr>
          <w:rFonts w:ascii="Tahoma" w:eastAsia="Times New Roman" w:hAnsi="Tahoma" w:cs="Tahoma"/>
          <w:sz w:val="24"/>
          <w:szCs w:val="24"/>
          <w:lang w:val="en-JM" w:eastAsia="en-JM"/>
        </w:rPr>
        <w:t>proceedings</w:t>
      </w:r>
      <w:r w:rsidR="00C27847">
        <w:rPr>
          <w:rFonts w:ascii="Tahoma" w:eastAsia="Times New Roman" w:hAnsi="Tahoma" w:cs="Tahoma"/>
          <w:sz w:val="24"/>
          <w:szCs w:val="24"/>
          <w:lang w:val="en-JM" w:eastAsia="en-JM"/>
        </w:rPr>
        <w:t>,</w:t>
      </w:r>
      <w:r w:rsidRPr="00556A6F">
        <w:rPr>
          <w:rFonts w:ascii="Tahoma" w:eastAsia="Times New Roman" w:hAnsi="Tahoma" w:cs="Tahoma"/>
          <w:sz w:val="24"/>
          <w:szCs w:val="24"/>
          <w:lang w:val="en-JM" w:eastAsia="en-JM"/>
        </w:rPr>
        <w:t xml:space="preserve"> was inadmissible hearsay evidence. </w:t>
      </w:r>
      <w:r>
        <w:rPr>
          <w:rFonts w:ascii="Tahoma" w:eastAsia="Times New Roman" w:hAnsi="Tahoma" w:cs="Tahoma"/>
          <w:sz w:val="24"/>
          <w:szCs w:val="24"/>
          <w:lang w:val="en-JM" w:eastAsia="en-JM"/>
        </w:rPr>
        <w:t>The appellant had therefore been at fault in not applying for an extension of time within which to pay the balance of the purchase price and the sale would accordingly be set aside</w:t>
      </w:r>
      <w:r w:rsidR="002E17E9">
        <w:rPr>
          <w:rFonts w:ascii="Tahoma" w:eastAsia="Times New Roman" w:hAnsi="Tahoma" w:cs="Tahoma"/>
          <w:sz w:val="24"/>
          <w:szCs w:val="24"/>
          <w:lang w:val="en-JM" w:eastAsia="en-JM"/>
        </w:rPr>
        <w:t xml:space="preserve"> and various consequential orders made</w:t>
      </w:r>
      <w:r>
        <w:rPr>
          <w:rFonts w:ascii="Tahoma" w:eastAsia="Times New Roman" w:hAnsi="Tahoma" w:cs="Tahoma"/>
          <w:sz w:val="24"/>
          <w:szCs w:val="24"/>
          <w:lang w:val="en-JM" w:eastAsia="en-JM"/>
        </w:rPr>
        <w:t>.</w:t>
      </w:r>
    </w:p>
    <w:p w:rsidR="002D73DF" w:rsidRDefault="002E17E9" w:rsidP="002E17E9">
      <w:pPr>
        <w:spacing w:line="480" w:lineRule="auto"/>
        <w:jc w:val="both"/>
        <w:rPr>
          <w:rFonts w:ascii="Tahoma" w:eastAsia="Times New Roman" w:hAnsi="Tahoma" w:cs="Tahoma"/>
          <w:sz w:val="24"/>
          <w:szCs w:val="24"/>
          <w:lang w:val="en-JM" w:eastAsia="en-JM"/>
        </w:rPr>
      </w:pPr>
      <w:r>
        <w:rPr>
          <w:rFonts w:ascii="Tahoma" w:eastAsia="Times New Roman" w:hAnsi="Tahoma" w:cs="Tahoma"/>
          <w:sz w:val="24"/>
          <w:szCs w:val="24"/>
          <w:lang w:val="en-JM" w:eastAsia="en-JM"/>
        </w:rPr>
        <w:t xml:space="preserve">61.   The appellant’s appeal to the CCJ succeeded. It was held that the appellant’s evidence of what had taken place when he went to the registry to pay the balance purchase price in late 2004 and was told </w:t>
      </w:r>
      <w:r w:rsidRPr="002E17E9">
        <w:rPr>
          <w:rFonts w:ascii="Tahoma" w:eastAsia="Times New Roman" w:hAnsi="Tahoma" w:cs="Tahoma"/>
          <w:sz w:val="24"/>
          <w:szCs w:val="24"/>
          <w:lang w:val="en-JM" w:eastAsia="en-JM"/>
        </w:rPr>
        <w:t xml:space="preserve">by </w:t>
      </w:r>
      <w:r>
        <w:rPr>
          <w:rFonts w:ascii="Tahoma" w:eastAsia="Times New Roman" w:hAnsi="Tahoma" w:cs="Tahoma"/>
          <w:sz w:val="24"/>
          <w:szCs w:val="24"/>
          <w:lang w:val="en-JM" w:eastAsia="en-JM"/>
        </w:rPr>
        <w:t xml:space="preserve">registry staff that his payment </w:t>
      </w:r>
      <w:r w:rsidRPr="002E17E9">
        <w:rPr>
          <w:rFonts w:ascii="Tahoma" w:eastAsia="Times New Roman" w:hAnsi="Tahoma" w:cs="Tahoma"/>
          <w:sz w:val="24"/>
          <w:szCs w:val="24"/>
          <w:lang w:val="en-JM" w:eastAsia="en-JM"/>
        </w:rPr>
        <w:t>could not be accepted because of pending legal proceedings</w:t>
      </w:r>
      <w:r>
        <w:rPr>
          <w:rFonts w:ascii="Tahoma" w:eastAsia="Times New Roman" w:hAnsi="Tahoma" w:cs="Tahoma"/>
          <w:sz w:val="24"/>
          <w:szCs w:val="24"/>
          <w:lang w:val="en-JM" w:eastAsia="en-JM"/>
        </w:rPr>
        <w:t xml:space="preserve"> was not inadmissible hearsay, but rather was admissible original evidence. </w:t>
      </w:r>
      <w:r w:rsidR="002D73DF">
        <w:rPr>
          <w:rFonts w:ascii="Tahoma" w:eastAsia="Times New Roman" w:hAnsi="Tahoma" w:cs="Tahoma"/>
          <w:sz w:val="24"/>
          <w:szCs w:val="24"/>
          <w:lang w:val="en-JM" w:eastAsia="en-JM"/>
        </w:rPr>
        <w:t>Endorsing the judgment of the Privy Council in</w:t>
      </w:r>
      <w:r w:rsidR="002D73DF" w:rsidRPr="002D73DF">
        <w:rPr>
          <w:rFonts w:ascii="Tahoma" w:eastAsia="Times New Roman" w:hAnsi="Tahoma" w:cs="Tahoma"/>
          <w:b/>
          <w:sz w:val="24"/>
          <w:szCs w:val="24"/>
          <w:lang w:val="en-JM" w:eastAsia="en-JM"/>
        </w:rPr>
        <w:t xml:space="preserve"> Subramaniam</w:t>
      </w:r>
      <w:r w:rsidR="002D73DF">
        <w:rPr>
          <w:rFonts w:ascii="Tahoma" w:eastAsia="Times New Roman" w:hAnsi="Tahoma" w:cs="Tahoma"/>
          <w:sz w:val="24"/>
          <w:szCs w:val="24"/>
          <w:lang w:val="en-JM" w:eastAsia="en-JM"/>
        </w:rPr>
        <w:t xml:space="preserve">, </w:t>
      </w:r>
      <w:r w:rsidRPr="002E17E9">
        <w:rPr>
          <w:rFonts w:ascii="Tahoma" w:eastAsia="Times New Roman" w:hAnsi="Tahoma" w:cs="Tahoma"/>
          <w:sz w:val="24"/>
          <w:szCs w:val="24"/>
          <w:lang w:val="en-JM" w:eastAsia="en-JM"/>
        </w:rPr>
        <w:t>Nelson, Wit, Hayton and Anderson</w:t>
      </w:r>
      <w:r>
        <w:rPr>
          <w:rFonts w:ascii="Tahoma" w:eastAsia="Times New Roman" w:hAnsi="Tahoma" w:cs="Tahoma"/>
          <w:sz w:val="24"/>
          <w:szCs w:val="24"/>
          <w:lang w:val="en-JM" w:eastAsia="en-JM"/>
        </w:rPr>
        <w:t xml:space="preserve"> JJCCJ</w:t>
      </w:r>
      <w:r w:rsidR="002A2325">
        <w:rPr>
          <w:rFonts w:ascii="Tahoma" w:eastAsia="Times New Roman" w:hAnsi="Tahoma" w:cs="Tahoma"/>
          <w:sz w:val="24"/>
          <w:szCs w:val="24"/>
          <w:lang w:val="en-JM" w:eastAsia="en-JM"/>
        </w:rPr>
        <w:t xml:space="preserve"> (with whom Saunders JCCJ agreed)</w:t>
      </w:r>
      <w:r w:rsidR="00C27847">
        <w:rPr>
          <w:rFonts w:ascii="Tahoma" w:eastAsia="Times New Roman" w:hAnsi="Tahoma" w:cs="Tahoma"/>
          <w:sz w:val="24"/>
          <w:szCs w:val="24"/>
          <w:lang w:val="en-JM" w:eastAsia="en-JM"/>
        </w:rPr>
        <w:t>,</w:t>
      </w:r>
      <w:r w:rsidR="00C27847" w:rsidRPr="00C27847">
        <w:rPr>
          <w:rFonts w:ascii="Tahoma" w:eastAsia="Times New Roman" w:hAnsi="Tahoma" w:cs="Tahoma"/>
          <w:sz w:val="24"/>
          <w:szCs w:val="24"/>
          <w:lang w:val="en-JM" w:eastAsia="en-JM"/>
        </w:rPr>
        <w:t xml:space="preserve"> </w:t>
      </w:r>
      <w:r w:rsidR="00C27847">
        <w:rPr>
          <w:rFonts w:ascii="Tahoma" w:eastAsia="Times New Roman" w:hAnsi="Tahoma" w:cs="Tahoma"/>
          <w:sz w:val="24"/>
          <w:szCs w:val="24"/>
          <w:lang w:val="en-JM" w:eastAsia="en-JM"/>
        </w:rPr>
        <w:t>in a joint judgment delivered by Hayton JCCJ,</w:t>
      </w:r>
      <w:r>
        <w:rPr>
          <w:rFonts w:ascii="Tahoma" w:eastAsia="Times New Roman" w:hAnsi="Tahoma" w:cs="Tahoma"/>
          <w:sz w:val="24"/>
          <w:szCs w:val="24"/>
          <w:lang w:val="en-JM" w:eastAsia="en-JM"/>
        </w:rPr>
        <w:t xml:space="preserve"> said </w:t>
      </w:r>
      <w:r w:rsidR="00C27847">
        <w:rPr>
          <w:rFonts w:ascii="Tahoma" w:eastAsia="Times New Roman" w:hAnsi="Tahoma" w:cs="Tahoma"/>
          <w:sz w:val="24"/>
          <w:szCs w:val="24"/>
          <w:lang w:val="en-JM" w:eastAsia="en-JM"/>
        </w:rPr>
        <w:t>the</w:t>
      </w:r>
      <w:r w:rsidR="002D73DF">
        <w:rPr>
          <w:rFonts w:ascii="Tahoma" w:eastAsia="Times New Roman" w:hAnsi="Tahoma" w:cs="Tahoma"/>
          <w:sz w:val="24"/>
          <w:szCs w:val="24"/>
          <w:lang w:val="en-JM" w:eastAsia="en-JM"/>
        </w:rPr>
        <w:t xml:space="preserve"> follow</w:t>
      </w:r>
      <w:r w:rsidR="00C27847">
        <w:rPr>
          <w:rFonts w:ascii="Tahoma" w:eastAsia="Times New Roman" w:hAnsi="Tahoma" w:cs="Tahoma"/>
          <w:sz w:val="24"/>
          <w:szCs w:val="24"/>
          <w:lang w:val="en-JM" w:eastAsia="en-JM"/>
        </w:rPr>
        <w:t>ing</w:t>
      </w:r>
      <w:r w:rsidR="002A2325">
        <w:rPr>
          <w:rFonts w:ascii="Tahoma" w:eastAsia="Times New Roman" w:hAnsi="Tahoma" w:cs="Tahoma"/>
          <w:sz w:val="24"/>
          <w:szCs w:val="24"/>
          <w:lang w:val="en-JM" w:eastAsia="en-JM"/>
        </w:rPr>
        <w:t xml:space="preserve"> </w:t>
      </w:r>
      <w:r>
        <w:rPr>
          <w:rFonts w:ascii="Tahoma" w:eastAsia="Times New Roman" w:hAnsi="Tahoma" w:cs="Tahoma"/>
          <w:sz w:val="24"/>
          <w:szCs w:val="24"/>
          <w:lang w:val="en-JM" w:eastAsia="en-JM"/>
        </w:rPr>
        <w:t xml:space="preserve">(at para. </w:t>
      </w:r>
      <w:r w:rsidR="002D73DF">
        <w:rPr>
          <w:rFonts w:ascii="Tahoma" w:eastAsia="Times New Roman" w:hAnsi="Tahoma" w:cs="Tahoma"/>
          <w:sz w:val="24"/>
          <w:szCs w:val="24"/>
          <w:lang w:val="en-JM" w:eastAsia="en-JM"/>
        </w:rPr>
        <w:t>[18]):</w:t>
      </w:r>
    </w:p>
    <w:p w:rsidR="002E17E9" w:rsidRDefault="002D73DF" w:rsidP="002D73DF">
      <w:pPr>
        <w:spacing w:line="240" w:lineRule="auto"/>
        <w:ind w:left="1440" w:right="1440"/>
        <w:jc w:val="both"/>
        <w:rPr>
          <w:rFonts w:ascii="Tahoma" w:eastAsia="Times New Roman" w:hAnsi="Tahoma" w:cs="Tahoma"/>
          <w:sz w:val="24"/>
          <w:szCs w:val="24"/>
          <w:lang w:val="en-JM" w:eastAsia="en-JM"/>
        </w:rPr>
      </w:pPr>
      <w:r>
        <w:rPr>
          <w:rFonts w:ascii="Tahoma" w:eastAsia="Times New Roman" w:hAnsi="Tahoma" w:cs="Tahoma"/>
          <w:sz w:val="24"/>
          <w:szCs w:val="24"/>
          <w:lang w:val="en-JM" w:eastAsia="en-JM"/>
        </w:rPr>
        <w:t>“</w:t>
      </w:r>
      <w:r w:rsidRPr="002D73DF">
        <w:rPr>
          <w:rFonts w:ascii="Tahoma" w:eastAsia="Times New Roman" w:hAnsi="Tahoma" w:cs="Tahoma"/>
          <w:sz w:val="24"/>
          <w:szCs w:val="24"/>
          <w:lang w:val="en-JM" w:eastAsia="en-JM"/>
        </w:rPr>
        <w:t>The statement of the staff member was not being used to establish that such legal proceedings existed but the fact that the statement was made so as to cause the</w:t>
      </w:r>
      <w:r>
        <w:rPr>
          <w:rFonts w:ascii="Tahoma" w:eastAsia="Times New Roman" w:hAnsi="Tahoma" w:cs="Tahoma"/>
          <w:sz w:val="24"/>
          <w:szCs w:val="24"/>
          <w:lang w:val="en-JM" w:eastAsia="en-JM"/>
        </w:rPr>
        <w:t xml:space="preserve"> </w:t>
      </w:r>
      <w:r w:rsidRPr="002D73DF">
        <w:rPr>
          <w:rFonts w:ascii="Tahoma" w:eastAsia="Times New Roman" w:hAnsi="Tahoma" w:cs="Tahoma"/>
          <w:sz w:val="24"/>
          <w:szCs w:val="24"/>
          <w:lang w:val="en-JM" w:eastAsia="en-JM"/>
        </w:rPr>
        <w:t>Purchaser to depart the Registry without achieving the purpose he would have expected to achieve when proffering full payment. Thus it does not rank as</w:t>
      </w:r>
      <w:r>
        <w:rPr>
          <w:rFonts w:ascii="Tahoma" w:eastAsia="Times New Roman" w:hAnsi="Tahoma" w:cs="Tahoma"/>
          <w:sz w:val="24"/>
          <w:szCs w:val="24"/>
          <w:lang w:val="en-JM" w:eastAsia="en-JM"/>
        </w:rPr>
        <w:t xml:space="preserve"> </w:t>
      </w:r>
      <w:r w:rsidRPr="002D73DF">
        <w:rPr>
          <w:rFonts w:ascii="Tahoma" w:eastAsia="Times New Roman" w:hAnsi="Tahoma" w:cs="Tahoma"/>
          <w:sz w:val="24"/>
          <w:szCs w:val="24"/>
          <w:lang w:val="en-JM" w:eastAsia="en-JM"/>
        </w:rPr>
        <w:t>hearsay.</w:t>
      </w:r>
      <w:r>
        <w:rPr>
          <w:rFonts w:ascii="Tahoma" w:eastAsia="Times New Roman" w:hAnsi="Tahoma" w:cs="Tahoma"/>
          <w:sz w:val="24"/>
          <w:szCs w:val="24"/>
          <w:lang w:val="en-JM" w:eastAsia="en-JM"/>
        </w:rPr>
        <w:t>”</w:t>
      </w:r>
      <w:r w:rsidRPr="002D73DF">
        <w:rPr>
          <w:rFonts w:ascii="Tahoma" w:eastAsia="Times New Roman" w:hAnsi="Tahoma" w:cs="Tahoma"/>
          <w:sz w:val="24"/>
          <w:szCs w:val="24"/>
          <w:lang w:val="en-JM" w:eastAsia="en-JM"/>
        </w:rPr>
        <w:t xml:space="preserve"> </w:t>
      </w:r>
    </w:p>
    <w:p w:rsidR="002D73DF" w:rsidRDefault="002D73DF" w:rsidP="002D73DF">
      <w:pPr>
        <w:spacing w:line="240" w:lineRule="auto"/>
        <w:ind w:right="1440"/>
        <w:jc w:val="both"/>
        <w:rPr>
          <w:rFonts w:ascii="Tahoma" w:eastAsia="Times New Roman" w:hAnsi="Tahoma" w:cs="Tahoma"/>
          <w:sz w:val="24"/>
          <w:szCs w:val="24"/>
          <w:lang w:val="en-JM" w:eastAsia="en-JM"/>
        </w:rPr>
      </w:pPr>
    </w:p>
    <w:p w:rsidR="002D73DF" w:rsidRDefault="002D73DF" w:rsidP="002D73DF">
      <w:pPr>
        <w:spacing w:line="480" w:lineRule="auto"/>
        <w:jc w:val="both"/>
        <w:rPr>
          <w:rFonts w:ascii="Tahoma" w:eastAsia="Times New Roman" w:hAnsi="Tahoma" w:cs="Tahoma"/>
          <w:sz w:val="24"/>
          <w:szCs w:val="24"/>
          <w:lang w:val="en-JM" w:eastAsia="en-JM"/>
        </w:rPr>
      </w:pPr>
      <w:r>
        <w:rPr>
          <w:rFonts w:ascii="Tahoma" w:eastAsia="Times New Roman" w:hAnsi="Tahoma" w:cs="Tahoma"/>
          <w:sz w:val="24"/>
          <w:szCs w:val="24"/>
          <w:lang w:val="en-JM" w:eastAsia="en-JM"/>
        </w:rPr>
        <w:t xml:space="preserve">62.   </w:t>
      </w:r>
      <w:r w:rsidR="00A2001C">
        <w:rPr>
          <w:rFonts w:ascii="Tahoma" w:eastAsia="Times New Roman" w:hAnsi="Tahoma" w:cs="Tahoma"/>
          <w:sz w:val="24"/>
          <w:szCs w:val="24"/>
          <w:lang w:val="en-JM" w:eastAsia="en-JM"/>
        </w:rPr>
        <w:t>T</w:t>
      </w:r>
      <w:r>
        <w:rPr>
          <w:rFonts w:ascii="Tahoma" w:eastAsia="Times New Roman" w:hAnsi="Tahoma" w:cs="Tahoma"/>
          <w:sz w:val="24"/>
          <w:szCs w:val="24"/>
          <w:lang w:val="en-JM" w:eastAsia="en-JM"/>
        </w:rPr>
        <w:t xml:space="preserve">he CCJ </w:t>
      </w:r>
      <w:r w:rsidR="00A2001C">
        <w:rPr>
          <w:rFonts w:ascii="Tahoma" w:eastAsia="Times New Roman" w:hAnsi="Tahoma" w:cs="Tahoma"/>
          <w:sz w:val="24"/>
          <w:szCs w:val="24"/>
          <w:lang w:val="en-JM" w:eastAsia="en-JM"/>
        </w:rPr>
        <w:t>therefore</w:t>
      </w:r>
      <w:r w:rsidR="002A2325">
        <w:rPr>
          <w:rFonts w:ascii="Tahoma" w:eastAsia="Times New Roman" w:hAnsi="Tahoma" w:cs="Tahoma"/>
          <w:sz w:val="24"/>
          <w:szCs w:val="24"/>
          <w:lang w:val="en-JM" w:eastAsia="en-JM"/>
        </w:rPr>
        <w:t xml:space="preserve"> made</w:t>
      </w:r>
      <w:r>
        <w:rPr>
          <w:rFonts w:ascii="Tahoma" w:eastAsia="Times New Roman" w:hAnsi="Tahoma" w:cs="Tahoma"/>
          <w:sz w:val="24"/>
          <w:szCs w:val="24"/>
          <w:lang w:val="en-JM" w:eastAsia="en-JM"/>
        </w:rPr>
        <w:t xml:space="preserve"> orders allowing the appeal, restoring Chang CJ (Ag)’s judgment, declaring the appellant to be the owner of the property and</w:t>
      </w:r>
      <w:r w:rsidRPr="002D73DF">
        <w:rPr>
          <w:rFonts w:ascii="Tahoma" w:eastAsia="Times New Roman" w:hAnsi="Tahoma" w:cs="Tahoma"/>
          <w:sz w:val="24"/>
          <w:szCs w:val="24"/>
          <w:lang w:val="en-JM" w:eastAsia="en-JM"/>
        </w:rPr>
        <w:t xml:space="preserve">, as such, entitled to possession of the said property. </w:t>
      </w:r>
      <w:r>
        <w:rPr>
          <w:rFonts w:ascii="Tahoma" w:eastAsia="Times New Roman" w:hAnsi="Tahoma" w:cs="Tahoma"/>
          <w:sz w:val="24"/>
          <w:szCs w:val="24"/>
          <w:lang w:val="en-JM" w:eastAsia="en-JM"/>
        </w:rPr>
        <w:t xml:space="preserve">The decision neatly illustrates the distinction </w:t>
      </w:r>
      <w:r>
        <w:rPr>
          <w:rFonts w:ascii="Tahoma" w:eastAsia="Times New Roman" w:hAnsi="Tahoma" w:cs="Tahoma"/>
          <w:sz w:val="24"/>
          <w:szCs w:val="24"/>
          <w:lang w:val="en-JM" w:eastAsia="en-JM"/>
        </w:rPr>
        <w:lastRenderedPageBreak/>
        <w:t xml:space="preserve">between hearsay evidence and original evidence in the context of the case. The appellant having presented himself and tendered payment of the balance of the purchase price within the time limited by the rules of court, </w:t>
      </w:r>
      <w:r w:rsidR="00A2001C">
        <w:rPr>
          <w:rFonts w:ascii="Tahoma" w:eastAsia="Times New Roman" w:hAnsi="Tahoma" w:cs="Tahoma"/>
          <w:sz w:val="24"/>
          <w:szCs w:val="24"/>
          <w:lang w:val="en-JM" w:eastAsia="en-JM"/>
        </w:rPr>
        <w:t>evidence of what he was told by the registry staff was narrated by him at the trial, not for the purpose of proving the truth of anything said by them, but simply for the purpose of explaining why, in the result, he was forced to depart from the registry without having made the payment. It was accordingly relevant, admissible evidence.</w:t>
      </w:r>
      <w:r>
        <w:rPr>
          <w:rFonts w:ascii="Tahoma" w:eastAsia="Times New Roman" w:hAnsi="Tahoma" w:cs="Tahoma"/>
          <w:sz w:val="24"/>
          <w:szCs w:val="24"/>
          <w:lang w:val="en-JM" w:eastAsia="en-JM"/>
        </w:rPr>
        <w:t xml:space="preserve"> </w:t>
      </w:r>
    </w:p>
    <w:p w:rsidR="00C27847" w:rsidRPr="00C27847" w:rsidRDefault="00C27847" w:rsidP="002D73DF">
      <w:pPr>
        <w:spacing w:line="480" w:lineRule="auto"/>
        <w:jc w:val="both"/>
        <w:rPr>
          <w:rFonts w:ascii="Tahoma" w:eastAsia="Times New Roman" w:hAnsi="Tahoma" w:cs="Tahoma"/>
          <w:b/>
          <w:sz w:val="24"/>
          <w:szCs w:val="24"/>
          <w:lang w:val="en-JM" w:eastAsia="en-JM"/>
        </w:rPr>
      </w:pPr>
      <w:r w:rsidRPr="00C27847">
        <w:rPr>
          <w:rFonts w:ascii="Tahoma" w:eastAsia="Times New Roman" w:hAnsi="Tahoma" w:cs="Tahoma"/>
          <w:b/>
          <w:sz w:val="24"/>
          <w:szCs w:val="24"/>
          <w:lang w:val="en-JM" w:eastAsia="en-JM"/>
        </w:rPr>
        <w:t>Conclusion</w:t>
      </w:r>
    </w:p>
    <w:p w:rsidR="0079375D" w:rsidRDefault="00C27847" w:rsidP="00F5405D">
      <w:pPr>
        <w:spacing w:after="100" w:line="480" w:lineRule="auto"/>
        <w:jc w:val="both"/>
        <w:rPr>
          <w:rFonts w:ascii="Tahoma" w:hAnsi="Tahoma" w:cs="Tahoma"/>
          <w:sz w:val="24"/>
          <w:szCs w:val="24"/>
        </w:rPr>
      </w:pPr>
      <w:r>
        <w:rPr>
          <w:rFonts w:ascii="Tahoma" w:hAnsi="Tahoma" w:cs="Tahoma"/>
          <w:sz w:val="24"/>
          <w:szCs w:val="24"/>
        </w:rPr>
        <w:t>63.   In this necessarily selective survey, I have been concerned to show that the common law of evidence is alive and well. A notable feature of the role of the Privy Council in interpreting and applying the common law to cases coming from our region has been its tendency to extend the spirit of English legislation, not forming part of local law, to our cases. To the extent that</w:t>
      </w:r>
      <w:r w:rsidR="001B714B">
        <w:rPr>
          <w:rFonts w:ascii="Tahoma" w:hAnsi="Tahoma" w:cs="Tahoma"/>
          <w:sz w:val="24"/>
          <w:szCs w:val="24"/>
        </w:rPr>
        <w:t>, by this</w:t>
      </w:r>
      <w:r>
        <w:rPr>
          <w:rFonts w:ascii="Tahoma" w:hAnsi="Tahoma" w:cs="Tahoma"/>
          <w:sz w:val="24"/>
          <w:szCs w:val="24"/>
        </w:rPr>
        <w:t xml:space="preserve"> approach</w:t>
      </w:r>
      <w:r w:rsidR="001B714B">
        <w:rPr>
          <w:rFonts w:ascii="Tahoma" w:hAnsi="Tahoma" w:cs="Tahoma"/>
          <w:sz w:val="24"/>
          <w:szCs w:val="24"/>
        </w:rPr>
        <w:t>, we have</w:t>
      </w:r>
      <w:r>
        <w:rPr>
          <w:rFonts w:ascii="Tahoma" w:hAnsi="Tahoma" w:cs="Tahoma"/>
          <w:sz w:val="24"/>
          <w:szCs w:val="24"/>
        </w:rPr>
        <w:t xml:space="preserve"> been able to supplement the common law in wholly beneficial ways, </w:t>
      </w:r>
      <w:r w:rsidR="001B714B">
        <w:rPr>
          <w:rFonts w:ascii="Tahoma" w:hAnsi="Tahoma" w:cs="Tahoma"/>
          <w:sz w:val="24"/>
          <w:szCs w:val="24"/>
        </w:rPr>
        <w:t>these developments have</w:t>
      </w:r>
      <w:r>
        <w:rPr>
          <w:rFonts w:ascii="Tahoma" w:hAnsi="Tahoma" w:cs="Tahoma"/>
          <w:sz w:val="24"/>
          <w:szCs w:val="24"/>
        </w:rPr>
        <w:t xml:space="preserve"> clearly</w:t>
      </w:r>
      <w:r w:rsidR="001B714B">
        <w:rPr>
          <w:rFonts w:ascii="Tahoma" w:hAnsi="Tahoma" w:cs="Tahoma"/>
          <w:sz w:val="24"/>
          <w:szCs w:val="24"/>
        </w:rPr>
        <w:t xml:space="preserve"> been</w:t>
      </w:r>
      <w:r w:rsidR="004B4367">
        <w:rPr>
          <w:rFonts w:ascii="Tahoma" w:hAnsi="Tahoma" w:cs="Tahoma"/>
          <w:sz w:val="24"/>
          <w:szCs w:val="24"/>
        </w:rPr>
        <w:t>, it seems to me,</w:t>
      </w:r>
      <w:r w:rsidR="001B714B">
        <w:rPr>
          <w:rFonts w:ascii="Tahoma" w:hAnsi="Tahoma" w:cs="Tahoma"/>
          <w:sz w:val="24"/>
          <w:szCs w:val="24"/>
        </w:rPr>
        <w:t xml:space="preserve"> to our advantage.</w:t>
      </w:r>
    </w:p>
    <w:p w:rsidR="0079375D" w:rsidRDefault="0079375D" w:rsidP="0079375D">
      <w:pPr>
        <w:spacing w:after="0" w:line="240" w:lineRule="auto"/>
        <w:jc w:val="both"/>
        <w:rPr>
          <w:rFonts w:ascii="Tahoma" w:hAnsi="Tahoma" w:cs="Tahoma"/>
          <w:sz w:val="24"/>
          <w:szCs w:val="24"/>
        </w:rPr>
      </w:pPr>
    </w:p>
    <w:p w:rsidR="006435B9" w:rsidRDefault="0079375D" w:rsidP="00F5405D">
      <w:pPr>
        <w:spacing w:after="100" w:line="480" w:lineRule="auto"/>
        <w:jc w:val="both"/>
        <w:rPr>
          <w:rFonts w:ascii="Tahoma" w:hAnsi="Tahoma" w:cs="Tahoma"/>
          <w:sz w:val="24"/>
          <w:szCs w:val="24"/>
        </w:rPr>
      </w:pPr>
      <w:r>
        <w:rPr>
          <w:rFonts w:ascii="Tahoma" w:hAnsi="Tahoma" w:cs="Tahoma"/>
          <w:sz w:val="24"/>
          <w:szCs w:val="24"/>
        </w:rPr>
        <w:t>64.</w:t>
      </w:r>
      <w:r w:rsidR="001B714B">
        <w:rPr>
          <w:rFonts w:ascii="Tahoma" w:hAnsi="Tahoma" w:cs="Tahoma"/>
          <w:sz w:val="24"/>
          <w:szCs w:val="24"/>
        </w:rPr>
        <w:t xml:space="preserve"> </w:t>
      </w:r>
      <w:r>
        <w:rPr>
          <w:rFonts w:ascii="Tahoma" w:hAnsi="Tahoma" w:cs="Tahoma"/>
          <w:sz w:val="24"/>
          <w:szCs w:val="24"/>
        </w:rPr>
        <w:t xml:space="preserve">  </w:t>
      </w:r>
      <w:r w:rsidR="001B714B">
        <w:rPr>
          <w:rFonts w:ascii="Tahoma" w:hAnsi="Tahoma" w:cs="Tahoma"/>
          <w:sz w:val="24"/>
          <w:szCs w:val="24"/>
        </w:rPr>
        <w:t>But it cannot possibly be desirable, I would</w:t>
      </w:r>
      <w:r w:rsidR="004B4367">
        <w:rPr>
          <w:rFonts w:ascii="Tahoma" w:hAnsi="Tahoma" w:cs="Tahoma"/>
          <w:sz w:val="24"/>
          <w:szCs w:val="24"/>
        </w:rPr>
        <w:t xml:space="preserve"> venture to </w:t>
      </w:r>
      <w:r w:rsidR="001B714B">
        <w:rPr>
          <w:rFonts w:ascii="Tahoma" w:hAnsi="Tahoma" w:cs="Tahoma"/>
          <w:sz w:val="24"/>
          <w:szCs w:val="24"/>
        </w:rPr>
        <w:t>suggest, for our several legislatures</w:t>
      </w:r>
      <w:r w:rsidR="007D3D8B">
        <w:rPr>
          <w:rFonts w:ascii="Tahoma" w:hAnsi="Tahoma" w:cs="Tahoma"/>
          <w:sz w:val="24"/>
          <w:szCs w:val="24"/>
        </w:rPr>
        <w:t xml:space="preserve"> (most</w:t>
      </w:r>
      <w:r w:rsidR="003F37E0">
        <w:rPr>
          <w:rFonts w:ascii="Tahoma" w:hAnsi="Tahoma" w:cs="Tahoma"/>
          <w:sz w:val="24"/>
          <w:szCs w:val="24"/>
        </w:rPr>
        <w:t>ly</w:t>
      </w:r>
      <w:r w:rsidR="007D3D8B">
        <w:rPr>
          <w:rFonts w:ascii="Tahoma" w:hAnsi="Tahoma" w:cs="Tahoma"/>
          <w:sz w:val="24"/>
          <w:szCs w:val="24"/>
        </w:rPr>
        <w:t xml:space="preserve"> sovereign)</w:t>
      </w:r>
      <w:r w:rsidR="001B714B">
        <w:rPr>
          <w:rFonts w:ascii="Tahoma" w:hAnsi="Tahoma" w:cs="Tahoma"/>
          <w:sz w:val="24"/>
          <w:szCs w:val="24"/>
        </w:rPr>
        <w:t xml:space="preserve"> to be content to rely indefinitely, by default, on solutions </w:t>
      </w:r>
      <w:r w:rsidR="007D3D8B">
        <w:rPr>
          <w:rFonts w:ascii="Tahoma" w:hAnsi="Tahoma" w:cs="Tahoma"/>
          <w:sz w:val="24"/>
          <w:szCs w:val="24"/>
        </w:rPr>
        <w:t xml:space="preserve">so </w:t>
      </w:r>
      <w:r w:rsidR="001B714B">
        <w:rPr>
          <w:rFonts w:ascii="Tahoma" w:hAnsi="Tahoma" w:cs="Tahoma"/>
          <w:sz w:val="24"/>
          <w:szCs w:val="24"/>
        </w:rPr>
        <w:t>carefully crafted</w:t>
      </w:r>
      <w:r w:rsidR="00C27847">
        <w:rPr>
          <w:rFonts w:ascii="Tahoma" w:hAnsi="Tahoma" w:cs="Tahoma"/>
          <w:sz w:val="24"/>
          <w:szCs w:val="24"/>
        </w:rPr>
        <w:t xml:space="preserve"> </w:t>
      </w:r>
      <w:r w:rsidR="001B714B">
        <w:rPr>
          <w:rFonts w:ascii="Tahoma" w:hAnsi="Tahoma" w:cs="Tahoma"/>
          <w:sz w:val="24"/>
          <w:szCs w:val="24"/>
        </w:rPr>
        <w:t>for use in another place. The challenge for all of us as lawyers</w:t>
      </w:r>
      <w:r w:rsidR="007D3D8B">
        <w:rPr>
          <w:rFonts w:ascii="Tahoma" w:hAnsi="Tahoma" w:cs="Tahoma"/>
          <w:sz w:val="24"/>
          <w:szCs w:val="24"/>
        </w:rPr>
        <w:t xml:space="preserve"> and citizens</w:t>
      </w:r>
      <w:r w:rsidR="001B714B">
        <w:rPr>
          <w:rFonts w:ascii="Tahoma" w:hAnsi="Tahoma" w:cs="Tahoma"/>
          <w:sz w:val="24"/>
          <w:szCs w:val="24"/>
        </w:rPr>
        <w:t xml:space="preserve"> therefore remains, even as we adopt and adapt such solutions to our own use in certain areas, to press for reform and change in the several other large areas of our </w:t>
      </w:r>
      <w:r w:rsidR="001B714B">
        <w:rPr>
          <w:rFonts w:ascii="Tahoma" w:hAnsi="Tahoma" w:cs="Tahoma"/>
          <w:sz w:val="24"/>
          <w:szCs w:val="24"/>
        </w:rPr>
        <w:lastRenderedPageBreak/>
        <w:t xml:space="preserve">law that remain steeped in the past. </w:t>
      </w:r>
      <w:r>
        <w:rPr>
          <w:rFonts w:ascii="Tahoma" w:hAnsi="Tahoma" w:cs="Tahoma"/>
          <w:sz w:val="24"/>
          <w:szCs w:val="24"/>
        </w:rPr>
        <w:t>In the law of evidence alone, there is much remaining that could benefit from such an exercise.</w:t>
      </w:r>
      <w:r w:rsidR="001B714B">
        <w:rPr>
          <w:rFonts w:ascii="Tahoma" w:hAnsi="Tahoma" w:cs="Tahoma"/>
          <w:sz w:val="24"/>
          <w:szCs w:val="24"/>
        </w:rPr>
        <w:t xml:space="preserve"> </w:t>
      </w:r>
    </w:p>
    <w:p w:rsidR="0079375D" w:rsidRDefault="0079375D" w:rsidP="00F5405D">
      <w:pPr>
        <w:spacing w:after="100" w:line="480" w:lineRule="auto"/>
        <w:jc w:val="both"/>
        <w:rPr>
          <w:rFonts w:ascii="Tahoma" w:hAnsi="Tahoma" w:cs="Tahoma"/>
          <w:b/>
          <w:sz w:val="24"/>
          <w:szCs w:val="24"/>
        </w:rPr>
      </w:pPr>
    </w:p>
    <w:p w:rsidR="001B714B" w:rsidRPr="000E14D8" w:rsidRDefault="00D4509E" w:rsidP="0079375D">
      <w:pPr>
        <w:spacing w:after="100" w:line="240" w:lineRule="auto"/>
        <w:jc w:val="both"/>
        <w:rPr>
          <w:rFonts w:ascii="Tahoma" w:hAnsi="Tahoma" w:cs="Tahoma"/>
          <w:sz w:val="24"/>
          <w:szCs w:val="24"/>
        </w:rPr>
      </w:pPr>
      <w:r w:rsidRPr="00D4509E">
        <w:rPr>
          <w:rFonts w:ascii="Tahoma" w:hAnsi="Tahoma" w:cs="Tahoma"/>
          <w:b/>
          <w:sz w:val="24"/>
          <w:szCs w:val="24"/>
        </w:rPr>
        <w:t>Dennis Morrison</w:t>
      </w:r>
    </w:p>
    <w:p w:rsidR="009A698E" w:rsidRPr="0079375D" w:rsidRDefault="0079375D" w:rsidP="0079375D">
      <w:pPr>
        <w:spacing w:before="100" w:beforeAutospacing="1" w:after="100" w:afterAutospacing="1" w:line="240" w:lineRule="auto"/>
        <w:jc w:val="both"/>
        <w:rPr>
          <w:rFonts w:ascii="Tahoma" w:eastAsia="Times New Roman" w:hAnsi="Tahoma" w:cs="Tahoma"/>
          <w:b/>
          <w:bCs/>
          <w:color w:val="000000"/>
          <w:sz w:val="24"/>
          <w:szCs w:val="24"/>
        </w:rPr>
      </w:pPr>
      <w:r>
        <w:rPr>
          <w:rStyle w:val="apple-converted-space"/>
          <w:rFonts w:ascii="Tahoma" w:hAnsi="Tahoma" w:cs="Tahoma"/>
          <w:b/>
          <w:bCs/>
          <w:sz w:val="24"/>
          <w:szCs w:val="24"/>
        </w:rPr>
        <w:t>13</w:t>
      </w:r>
      <w:r w:rsidRPr="0079375D">
        <w:rPr>
          <w:rStyle w:val="apple-converted-space"/>
          <w:rFonts w:ascii="Tahoma" w:hAnsi="Tahoma" w:cs="Tahoma"/>
          <w:b/>
          <w:bCs/>
          <w:sz w:val="24"/>
          <w:szCs w:val="24"/>
        </w:rPr>
        <w:t xml:space="preserve"> September 2014</w:t>
      </w:r>
      <w:r w:rsidR="00065D64" w:rsidRPr="0079375D">
        <w:rPr>
          <w:rStyle w:val="apple-converted-space"/>
          <w:rFonts w:ascii="Tahoma" w:hAnsi="Tahoma" w:cs="Tahoma"/>
          <w:b/>
          <w:bCs/>
          <w:sz w:val="24"/>
          <w:szCs w:val="24"/>
        </w:rPr>
        <w:t xml:space="preserve"> </w:t>
      </w:r>
      <w:r w:rsidR="008428A3" w:rsidRPr="0079375D">
        <w:rPr>
          <w:rStyle w:val="apple-converted-space"/>
          <w:rFonts w:ascii="Tahoma" w:hAnsi="Tahoma" w:cs="Tahoma"/>
          <w:b/>
          <w:bCs/>
          <w:color w:val="000000"/>
          <w:sz w:val="24"/>
          <w:szCs w:val="24"/>
        </w:rPr>
        <w:t xml:space="preserve">  </w:t>
      </w:r>
    </w:p>
    <w:p w:rsidR="00D56129" w:rsidRPr="0079375D" w:rsidRDefault="0079375D" w:rsidP="0079375D">
      <w:pPr>
        <w:spacing w:before="100" w:beforeAutospacing="1" w:after="100" w:afterAutospacing="1" w:line="240" w:lineRule="auto"/>
        <w:jc w:val="both"/>
        <w:rPr>
          <w:rFonts w:ascii="Tahoma" w:hAnsi="Tahoma" w:cs="Tahoma"/>
          <w:b/>
          <w:bCs/>
          <w:color w:val="000000"/>
          <w:sz w:val="24"/>
          <w:szCs w:val="24"/>
        </w:rPr>
      </w:pPr>
      <w:r w:rsidRPr="0079375D">
        <w:rPr>
          <w:rFonts w:ascii="Tahoma" w:hAnsi="Tahoma" w:cs="Tahoma"/>
          <w:b/>
          <w:bCs/>
          <w:color w:val="000000"/>
          <w:sz w:val="24"/>
          <w:szCs w:val="24"/>
        </w:rPr>
        <w:t>Anguilla</w:t>
      </w:r>
    </w:p>
    <w:p w:rsidR="00C63F6F" w:rsidRPr="00B77CB6" w:rsidRDefault="00D56129" w:rsidP="00D56129">
      <w:pPr>
        <w:spacing w:before="100" w:beforeAutospacing="1" w:after="100" w:afterAutospacing="1" w:line="48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p w:rsidR="00DA1D51" w:rsidRPr="00B77CB6" w:rsidRDefault="002A1348" w:rsidP="00B77CB6">
      <w:pPr>
        <w:autoSpaceDE w:val="0"/>
        <w:autoSpaceDN w:val="0"/>
        <w:adjustRightInd w:val="0"/>
        <w:spacing w:after="0" w:line="480" w:lineRule="auto"/>
        <w:jc w:val="both"/>
        <w:rPr>
          <w:rFonts w:ascii="Tahoma" w:hAnsi="Tahoma" w:cs="Tahoma"/>
          <w:sz w:val="24"/>
          <w:szCs w:val="24"/>
        </w:rPr>
      </w:pPr>
      <w:r w:rsidRPr="00B77CB6">
        <w:rPr>
          <w:rFonts w:ascii="Tahoma" w:hAnsi="Tahoma" w:cs="Tahoma"/>
          <w:color w:val="000000"/>
          <w:sz w:val="24"/>
          <w:szCs w:val="24"/>
        </w:rPr>
        <w:t xml:space="preserve"> </w:t>
      </w:r>
    </w:p>
    <w:p w:rsidR="002068E9" w:rsidRPr="00B77CB6" w:rsidRDefault="002068E9" w:rsidP="00B77CB6">
      <w:pPr>
        <w:autoSpaceDE w:val="0"/>
        <w:autoSpaceDN w:val="0"/>
        <w:adjustRightInd w:val="0"/>
        <w:spacing w:after="0" w:line="480" w:lineRule="auto"/>
        <w:jc w:val="both"/>
        <w:rPr>
          <w:rFonts w:ascii="Tahoma" w:hAnsi="Tahoma" w:cs="Tahoma"/>
          <w:sz w:val="24"/>
          <w:szCs w:val="24"/>
        </w:rPr>
      </w:pPr>
    </w:p>
    <w:p w:rsidR="00780B4D" w:rsidRPr="00B77CB6" w:rsidRDefault="00780B4D" w:rsidP="00B77CB6">
      <w:pPr>
        <w:autoSpaceDE w:val="0"/>
        <w:autoSpaceDN w:val="0"/>
        <w:adjustRightInd w:val="0"/>
        <w:spacing w:after="0" w:line="480" w:lineRule="auto"/>
        <w:jc w:val="both"/>
        <w:rPr>
          <w:rFonts w:ascii="Tahoma" w:hAnsi="Tahoma" w:cs="Tahoma"/>
          <w:sz w:val="24"/>
          <w:szCs w:val="24"/>
        </w:rPr>
      </w:pPr>
    </w:p>
    <w:p w:rsidR="00CA55FD" w:rsidRPr="00780B4D" w:rsidRDefault="00CA55FD" w:rsidP="00B77CB6">
      <w:pPr>
        <w:autoSpaceDE w:val="0"/>
        <w:autoSpaceDN w:val="0"/>
        <w:adjustRightInd w:val="0"/>
        <w:spacing w:after="0" w:line="480" w:lineRule="auto"/>
        <w:jc w:val="both"/>
        <w:rPr>
          <w:rFonts w:ascii="Tahoma" w:hAnsi="Tahoma" w:cs="Tahoma"/>
          <w:sz w:val="24"/>
          <w:szCs w:val="24"/>
        </w:rPr>
      </w:pPr>
      <w:r w:rsidRPr="00B77CB6">
        <w:rPr>
          <w:rFonts w:ascii="Tahoma" w:eastAsia="Times New Roman" w:hAnsi="Tahoma" w:cs="Tahoma"/>
          <w:color w:val="000000"/>
          <w:sz w:val="24"/>
          <w:szCs w:val="24"/>
        </w:rPr>
        <w:t xml:space="preserve">  </w:t>
      </w:r>
      <w:r w:rsidRPr="00780B4D">
        <w:rPr>
          <w:rFonts w:ascii="Tahoma" w:eastAsia="Times New Roman" w:hAnsi="Tahoma" w:cs="Tahoma"/>
          <w:color w:val="000000"/>
          <w:sz w:val="24"/>
          <w:szCs w:val="24"/>
        </w:rPr>
        <w:t xml:space="preserve"> </w:t>
      </w:r>
    </w:p>
    <w:p w:rsidR="00B6658A" w:rsidRPr="00E65761" w:rsidRDefault="00954A3F" w:rsidP="00E65761">
      <w:pPr>
        <w:tabs>
          <w:tab w:val="left" w:pos="9360"/>
        </w:tabs>
        <w:spacing w:line="480" w:lineRule="auto"/>
        <w:jc w:val="both"/>
        <w:rPr>
          <w:rFonts w:ascii="Tahoma" w:eastAsia="Times New Roman" w:hAnsi="Tahoma" w:cs="Tahoma"/>
          <w:color w:val="000000"/>
          <w:sz w:val="24"/>
          <w:szCs w:val="24"/>
        </w:rPr>
      </w:pPr>
      <w:r w:rsidRPr="00E65761">
        <w:rPr>
          <w:rFonts w:ascii="Tahoma" w:eastAsia="Times New Roman" w:hAnsi="Tahoma" w:cs="Tahoma"/>
          <w:color w:val="000000"/>
          <w:sz w:val="24"/>
          <w:szCs w:val="24"/>
        </w:rPr>
        <w:t xml:space="preserve">  </w:t>
      </w:r>
    </w:p>
    <w:p w:rsidR="00E57890" w:rsidRPr="00E65761" w:rsidRDefault="00E57890" w:rsidP="00E57890">
      <w:pPr>
        <w:tabs>
          <w:tab w:val="left" w:pos="7920"/>
        </w:tabs>
        <w:spacing w:line="240" w:lineRule="auto"/>
        <w:ind w:right="1440"/>
        <w:jc w:val="both"/>
        <w:rPr>
          <w:rFonts w:ascii="Tahoma" w:hAnsi="Tahoma" w:cs="Tahoma"/>
          <w:sz w:val="24"/>
          <w:szCs w:val="24"/>
        </w:rPr>
      </w:pPr>
    </w:p>
    <w:sectPr w:rsidR="00E57890" w:rsidRPr="00E65761" w:rsidSect="00274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7B" w:rsidRDefault="0066047B" w:rsidP="002A7D3E">
      <w:pPr>
        <w:spacing w:after="0" w:line="240" w:lineRule="auto"/>
      </w:pPr>
      <w:r>
        <w:separator/>
      </w:r>
    </w:p>
  </w:endnote>
  <w:endnote w:type="continuationSeparator" w:id="0">
    <w:p w:rsidR="0066047B" w:rsidRDefault="0066047B" w:rsidP="002A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7B" w:rsidRDefault="0066047B" w:rsidP="002A7D3E">
      <w:pPr>
        <w:spacing w:after="0" w:line="240" w:lineRule="auto"/>
      </w:pPr>
      <w:r>
        <w:separator/>
      </w:r>
    </w:p>
  </w:footnote>
  <w:footnote w:type="continuationSeparator" w:id="0">
    <w:p w:rsidR="0066047B" w:rsidRDefault="0066047B" w:rsidP="002A7D3E">
      <w:pPr>
        <w:spacing w:after="0" w:line="240" w:lineRule="auto"/>
      </w:pPr>
      <w:r>
        <w:continuationSeparator/>
      </w:r>
    </w:p>
  </w:footnote>
  <w:footnote w:id="1">
    <w:p w:rsidR="0066047B" w:rsidRDefault="0066047B">
      <w:pPr>
        <w:pStyle w:val="FootnoteText"/>
      </w:pPr>
      <w:r>
        <w:rPr>
          <w:rStyle w:val="FootnoteReference"/>
        </w:rPr>
        <w:footnoteRef/>
      </w:r>
      <w:r>
        <w:t xml:space="preserve"> </w:t>
      </w:r>
      <w:proofErr w:type="gramStart"/>
      <w:r>
        <w:t xml:space="preserve">Cross and Tapper on Evidence, by Colin Tapper, 12 </w:t>
      </w:r>
      <w:proofErr w:type="spellStart"/>
      <w:r>
        <w:t>edn</w:t>
      </w:r>
      <w:proofErr w:type="spellEnd"/>
      <w:r>
        <w:t>, page 1.</w:t>
      </w:r>
      <w:proofErr w:type="gramEnd"/>
    </w:p>
  </w:footnote>
  <w:footnote w:id="2">
    <w:p w:rsidR="0066047B" w:rsidRDefault="0066047B" w:rsidP="007E42AB">
      <w:pPr>
        <w:pStyle w:val="FootnoteText"/>
        <w:jc w:val="both"/>
      </w:pPr>
      <w:r>
        <w:rPr>
          <w:rStyle w:val="FootnoteReference"/>
        </w:rPr>
        <w:footnoteRef/>
      </w:r>
      <w:r>
        <w:t xml:space="preserve"> C.P. Harvey, ‘The Advocate’s Devil’ (1958), page 79: “Founded apparently on the propositions that all jurymen are deaf to reason, that all witnesses are presumptively liars and that all documents are presumptively forgeries, it has been added to, subtracted from and tinkered with for two centuries until it has become less of a structure than a pile of builders’ debris.”</w:t>
      </w:r>
    </w:p>
  </w:footnote>
  <w:footnote w:id="3">
    <w:p w:rsidR="0066047B" w:rsidRDefault="0066047B">
      <w:pPr>
        <w:pStyle w:val="FootnoteText"/>
      </w:pPr>
      <w:r>
        <w:rPr>
          <w:rStyle w:val="FootnoteReference"/>
        </w:rPr>
        <w:footnoteRef/>
      </w:r>
      <w:r>
        <w:t xml:space="preserve"> The earliest of them all was the Indian Evidence Act, 1872, but more modern examples can now be found in Australia and New Zealand. In the United States of America, the Federal Rules of Evidence, 1975, although not universally applicable, have been widely adopted in many states.</w:t>
      </w:r>
    </w:p>
  </w:footnote>
  <w:footnote w:id="4">
    <w:p w:rsidR="0066047B" w:rsidRDefault="0066047B" w:rsidP="006B53E8">
      <w:pPr>
        <w:pStyle w:val="FootnoteText"/>
      </w:pPr>
      <w:r>
        <w:rPr>
          <w:rStyle w:val="FootnoteReference"/>
        </w:rPr>
        <w:footnoteRef/>
      </w:r>
      <w:r>
        <w:t xml:space="preserve"> Judgment delivered 26 February 2001, para. [26]. Cf. The Bahamas Evidence Act 1996, section 3 of which states that, “Nothing in this Act shall be deemed to render inadmissible any evidence which is admissible under any </w:t>
      </w:r>
    </w:p>
    <w:p w:rsidR="0066047B" w:rsidRDefault="0066047B" w:rsidP="006B53E8">
      <w:pPr>
        <w:pStyle w:val="FootnoteText"/>
      </w:pPr>
      <w:proofErr w:type="gramStart"/>
      <w:r>
        <w:t>other</w:t>
      </w:r>
      <w:proofErr w:type="gramEnd"/>
      <w:r>
        <w:t xml:space="preserve"> Act.” </w:t>
      </w:r>
      <w:r>
        <w:cr/>
      </w:r>
    </w:p>
  </w:footnote>
  <w:footnote w:id="5">
    <w:p w:rsidR="0066047B" w:rsidRDefault="0066047B">
      <w:pPr>
        <w:pStyle w:val="FootnoteText"/>
      </w:pPr>
      <w:r>
        <w:rPr>
          <w:rStyle w:val="FootnoteReference"/>
        </w:rPr>
        <w:footnoteRef/>
      </w:r>
      <w:r>
        <w:t xml:space="preserve"> [1976] 3 All ER 549</w:t>
      </w:r>
    </w:p>
  </w:footnote>
  <w:footnote w:id="6">
    <w:p w:rsidR="0066047B" w:rsidRDefault="0066047B" w:rsidP="00F81172">
      <w:pPr>
        <w:autoSpaceDE w:val="0"/>
        <w:autoSpaceDN w:val="0"/>
        <w:adjustRightInd w:val="0"/>
        <w:spacing w:after="0" w:line="240" w:lineRule="auto"/>
        <w:rPr>
          <w:rFonts w:ascii="Times New Roman" w:hAnsi="Times New Roman" w:cs="Times New Roman"/>
          <w:sz w:val="17"/>
          <w:szCs w:val="17"/>
        </w:rPr>
      </w:pPr>
      <w:r>
        <w:rPr>
          <w:rStyle w:val="FootnoteReference"/>
        </w:rPr>
        <w:footnoteRef/>
      </w:r>
      <w:r>
        <w:t xml:space="preserve"> </w:t>
      </w:r>
      <w:r>
        <w:rPr>
          <w:rFonts w:cs="Times New Roman"/>
          <w:sz w:val="20"/>
          <w:szCs w:val="20"/>
        </w:rPr>
        <w:t>L</w:t>
      </w:r>
      <w:r w:rsidRPr="00F81172">
        <w:rPr>
          <w:rFonts w:cs="Times New Roman"/>
          <w:sz w:val="20"/>
          <w:szCs w:val="20"/>
        </w:rPr>
        <w:t xml:space="preserve">ord </w:t>
      </w:r>
      <w:proofErr w:type="spellStart"/>
      <w:r>
        <w:rPr>
          <w:rFonts w:cs="Times New Roman"/>
          <w:sz w:val="20"/>
          <w:szCs w:val="20"/>
        </w:rPr>
        <w:t>W</w:t>
      </w:r>
      <w:r w:rsidRPr="00F81172">
        <w:rPr>
          <w:rFonts w:cs="Times New Roman"/>
          <w:sz w:val="20"/>
          <w:szCs w:val="20"/>
        </w:rPr>
        <w:t>idgery</w:t>
      </w:r>
      <w:proofErr w:type="spellEnd"/>
      <w:r w:rsidRPr="00F81172">
        <w:rPr>
          <w:rFonts w:cs="Times New Roman"/>
          <w:sz w:val="20"/>
          <w:szCs w:val="20"/>
        </w:rPr>
        <w:t xml:space="preserve"> </w:t>
      </w:r>
      <w:r>
        <w:rPr>
          <w:rFonts w:cs="Times New Roman"/>
          <w:sz w:val="20"/>
          <w:szCs w:val="20"/>
        </w:rPr>
        <w:t>CJ</w:t>
      </w:r>
      <w:r w:rsidRPr="00F81172">
        <w:rPr>
          <w:rFonts w:cs="Times New Roman"/>
          <w:sz w:val="20"/>
          <w:szCs w:val="20"/>
        </w:rPr>
        <w:t xml:space="preserve">, </w:t>
      </w:r>
      <w:r>
        <w:rPr>
          <w:rFonts w:cs="Times New Roman"/>
          <w:sz w:val="20"/>
          <w:szCs w:val="20"/>
        </w:rPr>
        <w:t>R</w:t>
      </w:r>
      <w:r w:rsidRPr="00F81172">
        <w:rPr>
          <w:rFonts w:cs="Times New Roman"/>
          <w:sz w:val="20"/>
          <w:szCs w:val="20"/>
        </w:rPr>
        <w:t xml:space="preserve">oskill, </w:t>
      </w:r>
      <w:r>
        <w:rPr>
          <w:rFonts w:cs="Times New Roman"/>
          <w:sz w:val="20"/>
          <w:szCs w:val="20"/>
        </w:rPr>
        <w:t>L</w:t>
      </w:r>
      <w:r w:rsidRPr="00F81172">
        <w:rPr>
          <w:rFonts w:cs="Times New Roman"/>
          <w:sz w:val="20"/>
          <w:szCs w:val="20"/>
        </w:rPr>
        <w:t xml:space="preserve">awton </w:t>
      </w:r>
      <w:r>
        <w:rPr>
          <w:rFonts w:cs="Times New Roman"/>
          <w:sz w:val="20"/>
          <w:szCs w:val="20"/>
        </w:rPr>
        <w:t>LJJ</w:t>
      </w:r>
      <w:r w:rsidRPr="00F81172">
        <w:rPr>
          <w:rFonts w:cs="Times New Roman"/>
          <w:sz w:val="20"/>
          <w:szCs w:val="20"/>
        </w:rPr>
        <w:t xml:space="preserve">, </w:t>
      </w:r>
      <w:r>
        <w:rPr>
          <w:rFonts w:cs="Times New Roman"/>
          <w:sz w:val="20"/>
          <w:szCs w:val="20"/>
        </w:rPr>
        <w:t>C</w:t>
      </w:r>
      <w:r w:rsidRPr="00F81172">
        <w:rPr>
          <w:rFonts w:cs="Times New Roman"/>
          <w:sz w:val="20"/>
          <w:szCs w:val="20"/>
        </w:rPr>
        <w:t xml:space="preserve">usack and </w:t>
      </w:r>
      <w:r>
        <w:rPr>
          <w:rFonts w:cs="Times New Roman"/>
          <w:sz w:val="20"/>
          <w:szCs w:val="20"/>
        </w:rPr>
        <w:t>M</w:t>
      </w:r>
      <w:r w:rsidRPr="00F81172">
        <w:rPr>
          <w:rFonts w:cs="Times New Roman"/>
          <w:sz w:val="20"/>
          <w:szCs w:val="20"/>
        </w:rPr>
        <w:t xml:space="preserve">ay </w:t>
      </w:r>
      <w:r>
        <w:rPr>
          <w:rFonts w:cs="Times New Roman"/>
          <w:sz w:val="20"/>
          <w:szCs w:val="20"/>
        </w:rPr>
        <w:t>JJ</w:t>
      </w:r>
    </w:p>
    <w:p w:rsidR="0066047B" w:rsidRDefault="0066047B">
      <w:pPr>
        <w:pStyle w:val="FootnoteText"/>
      </w:pPr>
    </w:p>
  </w:footnote>
  <w:footnote w:id="7">
    <w:p w:rsidR="0066047B" w:rsidRDefault="0066047B">
      <w:pPr>
        <w:pStyle w:val="FootnoteText"/>
      </w:pPr>
      <w:r>
        <w:rPr>
          <w:rStyle w:val="FootnoteReference"/>
        </w:rPr>
        <w:footnoteRef/>
      </w:r>
      <w:r>
        <w:t xml:space="preserve"> Indeed, the </w:t>
      </w:r>
      <w:r w:rsidRPr="00E648DB">
        <w:rPr>
          <w:b/>
        </w:rPr>
        <w:t>Turnbull</w:t>
      </w:r>
      <w:r>
        <w:t xml:space="preserve"> guidelines have now been given statutory effect in section 112 of the St Kitts and Nevis Evidence Act, 2011</w:t>
      </w:r>
    </w:p>
  </w:footnote>
  <w:footnote w:id="8">
    <w:p w:rsidR="0066047B" w:rsidRDefault="0066047B">
      <w:pPr>
        <w:pStyle w:val="FootnoteText"/>
      </w:pPr>
      <w:r>
        <w:rPr>
          <w:rStyle w:val="FootnoteReference"/>
        </w:rPr>
        <w:footnoteRef/>
      </w:r>
      <w:r>
        <w:t xml:space="preserve"> [1981] 2 All ER 1060</w:t>
      </w:r>
    </w:p>
  </w:footnote>
  <w:footnote w:id="9">
    <w:p w:rsidR="0066047B" w:rsidRDefault="0066047B">
      <w:pPr>
        <w:pStyle w:val="FootnoteText"/>
      </w:pPr>
      <w:r>
        <w:rPr>
          <w:rStyle w:val="FootnoteReference"/>
        </w:rPr>
        <w:footnoteRef/>
      </w:r>
      <w:r>
        <w:t xml:space="preserve"> [2002] UKPC 17</w:t>
      </w:r>
    </w:p>
  </w:footnote>
  <w:footnote w:id="10">
    <w:p w:rsidR="0066047B" w:rsidRDefault="0066047B">
      <w:pPr>
        <w:pStyle w:val="FootnoteText"/>
      </w:pPr>
      <w:r>
        <w:rPr>
          <w:rStyle w:val="FootnoteReference"/>
        </w:rPr>
        <w:footnoteRef/>
      </w:r>
      <w:r>
        <w:t xml:space="preserve"> Since, in order to achieve the same result, parliamentary intervention had been necessary in the UK – see section 32(1</w:t>
      </w:r>
      <w:proofErr w:type="gramStart"/>
      <w:r>
        <w:t>)(</w:t>
      </w:r>
      <w:proofErr w:type="gramEnd"/>
      <w:r>
        <w:t xml:space="preserve">b) of the Criminal Justice and Public Order act 1994. </w:t>
      </w:r>
    </w:p>
  </w:footnote>
  <w:footnote w:id="11">
    <w:p w:rsidR="0066047B" w:rsidRDefault="0066047B">
      <w:pPr>
        <w:pStyle w:val="FootnoteText"/>
      </w:pPr>
      <w:r>
        <w:rPr>
          <w:rStyle w:val="FootnoteReference"/>
        </w:rPr>
        <w:footnoteRef/>
      </w:r>
      <w:r>
        <w:t xml:space="preserve"> (1976) 65 Cr App R 16</w:t>
      </w:r>
    </w:p>
  </w:footnote>
  <w:footnote w:id="12">
    <w:p w:rsidR="0066047B" w:rsidRPr="008321AE" w:rsidRDefault="0066047B">
      <w:pPr>
        <w:pStyle w:val="FootnoteText"/>
      </w:pPr>
      <w:r>
        <w:rPr>
          <w:rStyle w:val="FootnoteReference"/>
        </w:rPr>
        <w:footnoteRef/>
      </w:r>
      <w:r>
        <w:t xml:space="preserve"> </w:t>
      </w:r>
      <w:r w:rsidRPr="008321AE">
        <w:rPr>
          <w:rFonts w:cs="Arial"/>
          <w:iCs/>
          <w:shd w:val="clear" w:color="auto" w:fill="FFFFFF"/>
        </w:rPr>
        <w:t>Report of the Committee on Evidence of Identification in Criminal Cases</w:t>
      </w:r>
      <w:r w:rsidRPr="008321AE">
        <w:rPr>
          <w:rFonts w:cs="Arial"/>
          <w:shd w:val="clear" w:color="auto" w:fill="FFFFFF"/>
        </w:rPr>
        <w:t xml:space="preserve">, 1976 </w:t>
      </w:r>
      <w:proofErr w:type="spellStart"/>
      <w:r w:rsidRPr="008321AE">
        <w:rPr>
          <w:rFonts w:cs="Arial"/>
          <w:shd w:val="clear" w:color="auto" w:fill="FFFFFF"/>
        </w:rPr>
        <w:t>Cmnd</w:t>
      </w:r>
      <w:proofErr w:type="spellEnd"/>
      <w:r w:rsidRPr="008321AE">
        <w:rPr>
          <w:rFonts w:cs="Arial"/>
          <w:shd w:val="clear" w:color="auto" w:fill="FFFFFF"/>
        </w:rPr>
        <w:t xml:space="preserve"> 338 134/135, 42</w:t>
      </w:r>
    </w:p>
  </w:footnote>
  <w:footnote w:id="13">
    <w:p w:rsidR="0066047B" w:rsidRPr="00A924B8" w:rsidRDefault="0066047B">
      <w:pPr>
        <w:pStyle w:val="FootnoteText"/>
      </w:pPr>
      <w:r>
        <w:rPr>
          <w:rStyle w:val="FootnoteReference"/>
        </w:rPr>
        <w:footnoteRef/>
      </w:r>
      <w:r>
        <w:t xml:space="preserve"> [2003] </w:t>
      </w:r>
      <w:r>
        <w:rPr>
          <w:rStyle w:val="apple-converted-space"/>
          <w:color w:val="000000"/>
          <w:sz w:val="27"/>
          <w:szCs w:val="27"/>
        </w:rPr>
        <w:t> </w:t>
      </w:r>
      <w:r w:rsidRPr="00A924B8">
        <w:rPr>
          <w:rFonts w:cs="Tahoma"/>
          <w:color w:val="000000"/>
        </w:rPr>
        <w:t>UKPC 40</w:t>
      </w:r>
    </w:p>
  </w:footnote>
  <w:footnote w:id="14">
    <w:p w:rsidR="0066047B" w:rsidRPr="00F10917" w:rsidRDefault="0066047B">
      <w:pPr>
        <w:pStyle w:val="FootnoteText"/>
      </w:pPr>
      <w:r>
        <w:rPr>
          <w:rStyle w:val="FootnoteReference"/>
        </w:rPr>
        <w:footnoteRef/>
      </w:r>
      <w:r>
        <w:t xml:space="preserve"> </w:t>
      </w:r>
      <w:r w:rsidRPr="00F10917">
        <w:rPr>
          <w:color w:val="000000"/>
        </w:rPr>
        <w:t>(2008) 72 WIR 108</w:t>
      </w:r>
    </w:p>
  </w:footnote>
  <w:footnote w:id="15">
    <w:p w:rsidR="0066047B" w:rsidRPr="00B6658A" w:rsidRDefault="0066047B" w:rsidP="00D6085F">
      <w:pPr>
        <w:tabs>
          <w:tab w:val="left" w:pos="7920"/>
        </w:tabs>
        <w:spacing w:line="240" w:lineRule="auto"/>
        <w:ind w:right="1440"/>
        <w:jc w:val="both"/>
        <w:rPr>
          <w:rFonts w:eastAsia="Times New Roman" w:cs="Times New Roman"/>
          <w:color w:val="000000"/>
          <w:sz w:val="20"/>
          <w:szCs w:val="20"/>
        </w:rPr>
      </w:pPr>
      <w:r>
        <w:rPr>
          <w:rStyle w:val="FootnoteReference"/>
        </w:rPr>
        <w:footnoteRef/>
      </w:r>
      <w:r>
        <w:t xml:space="preserve"> </w:t>
      </w:r>
      <w:r w:rsidRPr="00B6658A">
        <w:rPr>
          <w:b/>
          <w:iCs/>
          <w:color w:val="000000"/>
          <w:sz w:val="20"/>
          <w:szCs w:val="20"/>
        </w:rPr>
        <w:t>Holland v HM Advocate</w:t>
      </w:r>
      <w:r w:rsidRPr="00B6658A">
        <w:rPr>
          <w:rStyle w:val="apple-converted-space"/>
          <w:color w:val="000000"/>
          <w:sz w:val="20"/>
          <w:szCs w:val="20"/>
        </w:rPr>
        <w:t> </w:t>
      </w:r>
      <w:hyperlink r:id="rId1" w:tooltip="Link to BAILII version" w:history="1">
        <w:r w:rsidRPr="00B6658A">
          <w:rPr>
            <w:rStyle w:val="Hyperlink"/>
            <w:color w:val="auto"/>
            <w:sz w:val="20"/>
            <w:szCs w:val="20"/>
            <w:u w:val="none"/>
          </w:rPr>
          <w:t>[2005] UKPC D1</w:t>
        </w:r>
      </w:hyperlink>
      <w:r w:rsidRPr="00B6658A">
        <w:rPr>
          <w:sz w:val="20"/>
          <w:szCs w:val="20"/>
        </w:rPr>
        <w:t>;</w:t>
      </w:r>
      <w:r w:rsidRPr="00B6658A">
        <w:rPr>
          <w:rStyle w:val="apple-converted-space"/>
          <w:sz w:val="20"/>
          <w:szCs w:val="20"/>
        </w:rPr>
        <w:t> </w:t>
      </w:r>
      <w:hyperlink r:id="rId2" w:tooltip="Link to BAILII version" w:history="1">
        <w:r w:rsidRPr="00B6658A">
          <w:rPr>
            <w:rStyle w:val="Hyperlink"/>
            <w:color w:val="auto"/>
            <w:sz w:val="20"/>
            <w:szCs w:val="20"/>
            <w:u w:val="none"/>
          </w:rPr>
          <w:t>2005 1 SC (PC) 3</w:t>
        </w:r>
      </w:hyperlink>
      <w:r>
        <w:rPr>
          <w:sz w:val="20"/>
          <w:szCs w:val="20"/>
        </w:rPr>
        <w:t xml:space="preserve">, </w:t>
      </w:r>
      <w:bookmarkStart w:id="3" w:name="para16"/>
      <w:r w:rsidRPr="00B6658A">
        <w:rPr>
          <w:rFonts w:eastAsia="Times New Roman" w:cs="Times New Roman"/>
          <w:color w:val="000000"/>
          <w:sz w:val="20"/>
          <w:szCs w:val="20"/>
        </w:rPr>
        <w:t>17, at para 47</w:t>
      </w:r>
      <w:bookmarkEnd w:id="3"/>
    </w:p>
    <w:p w:rsidR="0066047B" w:rsidRDefault="0066047B">
      <w:pPr>
        <w:pStyle w:val="FootnoteText"/>
      </w:pPr>
    </w:p>
  </w:footnote>
  <w:footnote w:id="16">
    <w:p w:rsidR="0066047B" w:rsidRDefault="0066047B">
      <w:pPr>
        <w:pStyle w:val="FootnoteText"/>
      </w:pPr>
      <w:r>
        <w:rPr>
          <w:rStyle w:val="FootnoteReference"/>
        </w:rPr>
        <w:footnoteRef/>
      </w:r>
      <w:r>
        <w:t xml:space="preserve"> ibid</w:t>
      </w:r>
    </w:p>
  </w:footnote>
  <w:footnote w:id="17">
    <w:p w:rsidR="0066047B" w:rsidRDefault="0066047B">
      <w:pPr>
        <w:pStyle w:val="FootnoteText"/>
      </w:pPr>
      <w:r>
        <w:rPr>
          <w:rStyle w:val="FootnoteReference"/>
        </w:rPr>
        <w:footnoteRef/>
      </w:r>
      <w:r>
        <w:t xml:space="preserve"> See an excellent paper, ‘Thirty years after Turnbull – Some trends in judicial approach to evidence of visual identification in ‘reco</w:t>
      </w:r>
      <w:r w:rsidR="00B16B28">
        <w:t xml:space="preserve">gnition’ cases’, by </w:t>
      </w:r>
      <w:proofErr w:type="spellStart"/>
      <w:r>
        <w:t>Marva</w:t>
      </w:r>
      <w:proofErr w:type="spellEnd"/>
      <w:r>
        <w:t xml:space="preserve"> McDonald-Bishop</w:t>
      </w:r>
      <w:r w:rsidR="00B16B28">
        <w:t xml:space="preserve"> J</w:t>
      </w:r>
      <w:r>
        <w:t xml:space="preserve"> (acting, as she then was), presented to a seminar for prosecutors held in </w:t>
      </w:r>
      <w:proofErr w:type="spellStart"/>
      <w:r>
        <w:t>Ocho</w:t>
      </w:r>
      <w:proofErr w:type="spellEnd"/>
      <w:r>
        <w:t xml:space="preserve"> Rios, Jamaica 25-27 January 2008, para. 21  </w:t>
      </w:r>
    </w:p>
  </w:footnote>
  <w:footnote w:id="18">
    <w:p w:rsidR="0066047B" w:rsidRDefault="0066047B">
      <w:pPr>
        <w:pStyle w:val="FootnoteText"/>
      </w:pPr>
      <w:r>
        <w:rPr>
          <w:rStyle w:val="FootnoteReference"/>
        </w:rPr>
        <w:footnoteRef/>
      </w:r>
      <w:r>
        <w:t xml:space="preserve"> (1986) 23 JLR 223, 227, a judgment of the Court of Appeal of Jamaica</w:t>
      </w:r>
    </w:p>
  </w:footnote>
  <w:footnote w:id="19">
    <w:p w:rsidR="0066047B" w:rsidRDefault="0066047B">
      <w:pPr>
        <w:pStyle w:val="FootnoteText"/>
      </w:pPr>
      <w:r>
        <w:rPr>
          <w:rStyle w:val="FootnoteReference"/>
        </w:rPr>
        <w:footnoteRef/>
      </w:r>
      <w:r>
        <w:t xml:space="preserve"> (2000) 56 WIR 444</w:t>
      </w:r>
    </w:p>
  </w:footnote>
  <w:footnote w:id="20">
    <w:p w:rsidR="0066047B" w:rsidRDefault="0066047B">
      <w:pPr>
        <w:pStyle w:val="FootnoteText"/>
      </w:pPr>
      <w:r>
        <w:rPr>
          <w:rStyle w:val="FootnoteReference"/>
        </w:rPr>
        <w:footnoteRef/>
      </w:r>
      <w:r>
        <w:t xml:space="preserve"> At page 447</w:t>
      </w:r>
    </w:p>
  </w:footnote>
  <w:footnote w:id="21">
    <w:p w:rsidR="0066047B" w:rsidRDefault="0066047B">
      <w:pPr>
        <w:pStyle w:val="FootnoteText"/>
      </w:pPr>
      <w:r>
        <w:rPr>
          <w:rStyle w:val="FootnoteReference"/>
        </w:rPr>
        <w:footnoteRef/>
      </w:r>
      <w:r>
        <w:t xml:space="preserve"> At page 448</w:t>
      </w:r>
    </w:p>
  </w:footnote>
  <w:footnote w:id="22">
    <w:p w:rsidR="0066047B" w:rsidRDefault="0066047B">
      <w:pPr>
        <w:pStyle w:val="FootnoteText"/>
      </w:pPr>
      <w:r>
        <w:rPr>
          <w:rStyle w:val="FootnoteReference"/>
        </w:rPr>
        <w:footnoteRef/>
      </w:r>
      <w:r>
        <w:t xml:space="preserve"> [1998] 2 Cr App R 208, 215</w:t>
      </w:r>
    </w:p>
  </w:footnote>
  <w:footnote w:id="23">
    <w:p w:rsidR="0066047B" w:rsidRDefault="0066047B" w:rsidP="00DA1D51">
      <w:pPr>
        <w:pStyle w:val="FootnoteText"/>
      </w:pPr>
      <w:r>
        <w:rPr>
          <w:rStyle w:val="FootnoteReference"/>
        </w:rPr>
        <w:footnoteRef/>
      </w:r>
      <w:r>
        <w:t xml:space="preserve"> (2000) 56 WIR 444, at pages 449-450</w:t>
      </w:r>
    </w:p>
    <w:p w:rsidR="0066047B" w:rsidRDefault="0066047B">
      <w:pPr>
        <w:pStyle w:val="FootnoteText"/>
      </w:pPr>
    </w:p>
  </w:footnote>
  <w:footnote w:id="24">
    <w:p w:rsidR="0066047B" w:rsidRDefault="0066047B">
      <w:pPr>
        <w:pStyle w:val="FootnoteText"/>
      </w:pPr>
      <w:r>
        <w:rPr>
          <w:rStyle w:val="FootnoteReference"/>
        </w:rPr>
        <w:footnoteRef/>
      </w:r>
      <w:r>
        <w:t xml:space="preserve"> </w:t>
      </w:r>
      <w:r w:rsidRPr="004E1601">
        <w:rPr>
          <w:rFonts w:cs="Tahoma"/>
        </w:rPr>
        <w:t>[2007] UKPC 47</w:t>
      </w:r>
    </w:p>
  </w:footnote>
  <w:footnote w:id="25">
    <w:p w:rsidR="0066047B" w:rsidRDefault="0066047B">
      <w:pPr>
        <w:pStyle w:val="FootnoteText"/>
      </w:pPr>
      <w:r>
        <w:rPr>
          <w:rStyle w:val="FootnoteReference"/>
        </w:rPr>
        <w:footnoteRef/>
      </w:r>
      <w:r>
        <w:t xml:space="preserve"> </w:t>
      </w:r>
      <w:proofErr w:type="gramStart"/>
      <w:r>
        <w:t>A</w:t>
      </w:r>
      <w:r w:rsidRPr="004E1601">
        <w:rPr>
          <w:rFonts w:eastAsia="Times New Roman" w:cs="Tahoma"/>
          <w:color w:val="000000"/>
        </w:rPr>
        <w:t>t para.</w:t>
      </w:r>
      <w:proofErr w:type="gramEnd"/>
      <w:r w:rsidRPr="004E1601">
        <w:rPr>
          <w:rFonts w:eastAsia="Times New Roman" w:cs="Tahoma"/>
          <w:color w:val="000000"/>
        </w:rPr>
        <w:t xml:space="preserve"> 11</w:t>
      </w:r>
    </w:p>
  </w:footnote>
  <w:footnote w:id="26">
    <w:p w:rsidR="0066047B" w:rsidRDefault="0066047B">
      <w:pPr>
        <w:pStyle w:val="FootnoteText"/>
      </w:pPr>
      <w:r>
        <w:rPr>
          <w:rStyle w:val="FootnoteReference"/>
        </w:rPr>
        <w:footnoteRef/>
      </w:r>
      <w:r>
        <w:t xml:space="preserve"> </w:t>
      </w:r>
      <w:proofErr w:type="gramStart"/>
      <w:r>
        <w:t>At para.</w:t>
      </w:r>
      <w:proofErr w:type="gramEnd"/>
      <w:r>
        <w:t xml:space="preserve"> 12</w:t>
      </w:r>
    </w:p>
  </w:footnote>
  <w:footnote w:id="27">
    <w:p w:rsidR="0066047B" w:rsidRPr="00315A2C" w:rsidRDefault="0066047B" w:rsidP="00315A2C">
      <w:pPr>
        <w:jc w:val="both"/>
        <w:rPr>
          <w:rFonts w:eastAsia="Times New Roman" w:cs="Helvetica"/>
          <w:color w:val="000000"/>
          <w:sz w:val="20"/>
          <w:szCs w:val="20"/>
        </w:rPr>
      </w:pPr>
      <w:r w:rsidRPr="00315A2C">
        <w:rPr>
          <w:rStyle w:val="FootnoteReference"/>
          <w:sz w:val="20"/>
          <w:szCs w:val="20"/>
        </w:rPr>
        <w:footnoteRef/>
      </w:r>
      <w:r w:rsidRPr="00315A2C">
        <w:rPr>
          <w:sz w:val="20"/>
          <w:szCs w:val="20"/>
        </w:rPr>
        <w:t xml:space="preserve"> Given that this comment relates</w:t>
      </w:r>
      <w:r>
        <w:rPr>
          <w:sz w:val="20"/>
          <w:szCs w:val="20"/>
        </w:rPr>
        <w:t xml:space="preserve"> explicitly</w:t>
      </w:r>
      <w:r w:rsidRPr="00315A2C">
        <w:rPr>
          <w:sz w:val="20"/>
          <w:szCs w:val="20"/>
        </w:rPr>
        <w:t xml:space="preserve"> to “a desirable practice”, and not to law, it </w:t>
      </w:r>
      <w:r>
        <w:rPr>
          <w:sz w:val="20"/>
          <w:szCs w:val="20"/>
        </w:rPr>
        <w:t>would appear</w:t>
      </w:r>
      <w:r w:rsidRPr="00315A2C">
        <w:rPr>
          <w:sz w:val="20"/>
          <w:szCs w:val="20"/>
        </w:rPr>
        <w:t xml:space="preserve"> that its force remains unaffected by Act No. 9 of 2007, which amended the</w:t>
      </w:r>
      <w:r w:rsidRPr="00315A2C">
        <w:rPr>
          <w:rFonts w:eastAsia="Times New Roman" w:cs="Helvetica"/>
          <w:color w:val="000000"/>
          <w:sz w:val="20"/>
          <w:szCs w:val="20"/>
        </w:rPr>
        <w:t> </w:t>
      </w:r>
      <w:r w:rsidRPr="00315A2C">
        <w:rPr>
          <w:rFonts w:eastAsia="Times New Roman" w:cs="Helvetica"/>
          <w:iCs/>
          <w:color w:val="000000"/>
          <w:sz w:val="20"/>
          <w:szCs w:val="20"/>
        </w:rPr>
        <w:t>Evidence Act</w:t>
      </w:r>
      <w:r w:rsidRPr="00315A2C">
        <w:rPr>
          <w:rFonts w:eastAsia="Times New Roman" w:cs="Helvetica"/>
          <w:i/>
          <w:iCs/>
          <w:color w:val="000000"/>
          <w:sz w:val="20"/>
          <w:szCs w:val="20"/>
        </w:rPr>
        <w:t> </w:t>
      </w:r>
      <w:r w:rsidRPr="00315A2C">
        <w:rPr>
          <w:rFonts w:eastAsia="Times New Roman" w:cs="Helvetica"/>
          <w:color w:val="000000"/>
          <w:sz w:val="20"/>
          <w:szCs w:val="20"/>
        </w:rPr>
        <w:t>of St. Vincent &amp; The Grenadines to insert section 3A which reads as follows:</w:t>
      </w:r>
    </w:p>
    <w:p w:rsidR="0066047B" w:rsidRPr="00315A2C" w:rsidRDefault="0066047B" w:rsidP="00315A2C">
      <w:pPr>
        <w:spacing w:after="0" w:line="240" w:lineRule="auto"/>
        <w:jc w:val="both"/>
        <w:rPr>
          <w:rFonts w:eastAsia="Times New Roman" w:cs="Helvetica"/>
          <w:color w:val="000000"/>
          <w:sz w:val="20"/>
          <w:szCs w:val="20"/>
        </w:rPr>
      </w:pPr>
      <w:r w:rsidRPr="00315A2C">
        <w:rPr>
          <w:rFonts w:eastAsia="Times New Roman" w:cs="Helvetica"/>
          <w:iCs/>
          <w:color w:val="000000"/>
          <w:sz w:val="20"/>
          <w:szCs w:val="20"/>
        </w:rPr>
        <w:t>"(1) Notwithstanding section 3, at the date of commencement of this section, the Police and Criminal Evidence Act, 1984, of the United Kingdom shall not apply to Saint Vincent and the Grenadines.</w:t>
      </w:r>
    </w:p>
    <w:p w:rsidR="0066047B" w:rsidRDefault="0066047B" w:rsidP="00315A2C">
      <w:pPr>
        <w:spacing w:after="0" w:line="240" w:lineRule="auto"/>
        <w:jc w:val="both"/>
        <w:rPr>
          <w:rFonts w:eastAsia="Times New Roman" w:cs="Helvetica"/>
          <w:iCs/>
          <w:color w:val="000000"/>
          <w:sz w:val="20"/>
          <w:szCs w:val="20"/>
        </w:rPr>
      </w:pPr>
    </w:p>
    <w:p w:rsidR="0066047B" w:rsidRPr="00315A2C" w:rsidRDefault="0066047B" w:rsidP="00315A2C">
      <w:pPr>
        <w:spacing w:after="0" w:line="240" w:lineRule="auto"/>
        <w:jc w:val="both"/>
        <w:rPr>
          <w:rFonts w:eastAsia="Times New Roman" w:cs="Helvetica"/>
          <w:color w:val="000000"/>
          <w:sz w:val="20"/>
          <w:szCs w:val="20"/>
        </w:rPr>
      </w:pPr>
      <w:r w:rsidRPr="00315A2C">
        <w:rPr>
          <w:rFonts w:eastAsia="Times New Roman" w:cs="Helvetica"/>
          <w:iCs/>
          <w:color w:val="000000"/>
          <w:sz w:val="20"/>
          <w:szCs w:val="20"/>
        </w:rPr>
        <w:t xml:space="preserve">(2) </w:t>
      </w:r>
      <w:proofErr w:type="gramStart"/>
      <w:r w:rsidRPr="00315A2C">
        <w:rPr>
          <w:rFonts w:eastAsia="Times New Roman" w:cs="Helvetica"/>
          <w:iCs/>
          <w:color w:val="000000"/>
          <w:sz w:val="20"/>
          <w:szCs w:val="20"/>
        </w:rPr>
        <w:t>Nothing</w:t>
      </w:r>
      <w:proofErr w:type="gramEnd"/>
      <w:r w:rsidRPr="00315A2C">
        <w:rPr>
          <w:rFonts w:eastAsia="Times New Roman" w:cs="Helvetica"/>
          <w:iCs/>
          <w:color w:val="000000"/>
          <w:sz w:val="20"/>
          <w:szCs w:val="20"/>
        </w:rPr>
        <w:t xml:space="preserve"> in subsection (1) shall apply to any trial or preliminary inquiry began before the coming into operation of that subsection."</w:t>
      </w:r>
    </w:p>
    <w:p w:rsidR="0066047B" w:rsidRPr="00315A2C" w:rsidRDefault="0066047B" w:rsidP="00315A2C">
      <w:pPr>
        <w:pStyle w:val="FootnoteText"/>
        <w:jc w:val="both"/>
      </w:pPr>
    </w:p>
  </w:footnote>
  <w:footnote w:id="28">
    <w:p w:rsidR="0066047B" w:rsidRDefault="0066047B">
      <w:pPr>
        <w:pStyle w:val="FootnoteText"/>
      </w:pPr>
      <w:r>
        <w:rPr>
          <w:rStyle w:val="FootnoteReference"/>
        </w:rPr>
        <w:footnoteRef/>
      </w:r>
      <w:r>
        <w:t xml:space="preserve"> </w:t>
      </w:r>
      <w:proofErr w:type="gramStart"/>
      <w:r w:rsidRPr="00315A2C">
        <w:rPr>
          <w:rFonts w:eastAsia="Times New Roman" w:cs="Tahoma"/>
          <w:color w:val="000000"/>
        </w:rPr>
        <w:t>[</w:t>
      </w:r>
      <w:r>
        <w:rPr>
          <w:rFonts w:eastAsia="Times New Roman" w:cs="Tahoma"/>
          <w:color w:val="000000"/>
        </w:rPr>
        <w:t>2008] U</w:t>
      </w:r>
      <w:r w:rsidRPr="00315A2C">
        <w:rPr>
          <w:rFonts w:eastAsia="Times New Roman" w:cs="Tahoma"/>
          <w:color w:val="000000"/>
        </w:rPr>
        <w:t>KPC 34, para.</w:t>
      </w:r>
      <w:proofErr w:type="gramEnd"/>
      <w:r w:rsidRPr="00315A2C">
        <w:rPr>
          <w:rFonts w:eastAsia="Times New Roman" w:cs="Tahoma"/>
          <w:color w:val="000000"/>
        </w:rPr>
        <w:t xml:space="preserve"> 26</w:t>
      </w:r>
    </w:p>
  </w:footnote>
  <w:footnote w:id="29">
    <w:p w:rsidR="0066047B" w:rsidRDefault="0066047B">
      <w:pPr>
        <w:pStyle w:val="FootnoteText"/>
      </w:pPr>
      <w:r>
        <w:rPr>
          <w:rStyle w:val="FootnoteReference"/>
        </w:rPr>
        <w:footnoteRef/>
      </w:r>
      <w:r>
        <w:t xml:space="preserve"> [2006] UKPC 6</w:t>
      </w:r>
    </w:p>
  </w:footnote>
  <w:footnote w:id="30">
    <w:p w:rsidR="0066047B" w:rsidRDefault="0066047B">
      <w:pPr>
        <w:pStyle w:val="FootnoteText"/>
      </w:pPr>
      <w:r>
        <w:rPr>
          <w:rStyle w:val="FootnoteReference"/>
        </w:rPr>
        <w:footnoteRef/>
      </w:r>
      <w:r>
        <w:t xml:space="preserve"> [2003] EWCA </w:t>
      </w:r>
      <w:proofErr w:type="spellStart"/>
      <w:r>
        <w:t>Crim</w:t>
      </w:r>
      <w:proofErr w:type="spellEnd"/>
      <w:r>
        <w:t xml:space="preserve"> 174</w:t>
      </w:r>
    </w:p>
  </w:footnote>
  <w:footnote w:id="31">
    <w:p w:rsidR="0066047B" w:rsidRDefault="0066047B">
      <w:pPr>
        <w:pStyle w:val="FootnoteText"/>
      </w:pPr>
      <w:r>
        <w:rPr>
          <w:rStyle w:val="FootnoteReference"/>
        </w:rPr>
        <w:footnoteRef/>
      </w:r>
      <w:r>
        <w:t xml:space="preserve"> </w:t>
      </w:r>
      <w:proofErr w:type="gramStart"/>
      <w:r>
        <w:t>At para.</w:t>
      </w:r>
      <w:proofErr w:type="gramEnd"/>
      <w:r>
        <w:t xml:space="preserve"> 33</w:t>
      </w:r>
    </w:p>
  </w:footnote>
  <w:footnote w:id="32">
    <w:p w:rsidR="0066047B" w:rsidRDefault="0066047B">
      <w:pPr>
        <w:pStyle w:val="FootnoteText"/>
      </w:pPr>
      <w:r>
        <w:rPr>
          <w:rStyle w:val="FootnoteReference"/>
        </w:rPr>
        <w:footnoteRef/>
      </w:r>
      <w:r>
        <w:t xml:space="preserve"> [2009] UKPC 12 </w:t>
      </w:r>
    </w:p>
  </w:footnote>
  <w:footnote w:id="33">
    <w:p w:rsidR="0066047B" w:rsidRDefault="0066047B">
      <w:pPr>
        <w:pStyle w:val="FootnoteText"/>
      </w:pPr>
      <w:r>
        <w:rPr>
          <w:rStyle w:val="FootnoteReference"/>
        </w:rPr>
        <w:footnoteRef/>
      </w:r>
      <w:r>
        <w:t xml:space="preserve"> </w:t>
      </w:r>
      <w:proofErr w:type="gramStart"/>
      <w:r>
        <w:t>At para.</w:t>
      </w:r>
      <w:proofErr w:type="gramEnd"/>
      <w:r>
        <w:t xml:space="preserve"> 14</w:t>
      </w:r>
    </w:p>
  </w:footnote>
  <w:footnote w:id="34">
    <w:p w:rsidR="0066047B" w:rsidRPr="003A1B7B" w:rsidRDefault="0066047B">
      <w:pPr>
        <w:pStyle w:val="FootnoteText"/>
      </w:pPr>
      <w:r>
        <w:rPr>
          <w:rStyle w:val="FootnoteReference"/>
        </w:rPr>
        <w:footnoteRef/>
      </w:r>
      <w:r>
        <w:t xml:space="preserve"> </w:t>
      </w:r>
      <w:proofErr w:type="gramStart"/>
      <w:r>
        <w:t>At paras 14-16.</w:t>
      </w:r>
      <w:proofErr w:type="gramEnd"/>
      <w:r>
        <w:t xml:space="preserve"> The summary in the text is based on the subsequent judgment of Lord Kerr in </w:t>
      </w:r>
      <w:r w:rsidRPr="003A1B7B">
        <w:rPr>
          <w:b/>
        </w:rPr>
        <w:t xml:space="preserve">France &amp; </w:t>
      </w:r>
      <w:proofErr w:type="spellStart"/>
      <w:r w:rsidRPr="003A1B7B">
        <w:rPr>
          <w:b/>
        </w:rPr>
        <w:t>Vassell</w:t>
      </w:r>
      <w:proofErr w:type="spellEnd"/>
      <w:r w:rsidRPr="003A1B7B">
        <w:rPr>
          <w:b/>
        </w:rPr>
        <w:t xml:space="preserve"> v R</w:t>
      </w:r>
      <w:r>
        <w:t xml:space="preserve"> </w:t>
      </w:r>
      <w:r w:rsidRPr="003A1B7B">
        <w:rPr>
          <w:color w:val="000000"/>
        </w:rPr>
        <w:t>[2012] UKPC 28</w:t>
      </w:r>
      <w:r>
        <w:rPr>
          <w:color w:val="000000"/>
        </w:rPr>
        <w:t>, para. 28</w:t>
      </w:r>
    </w:p>
  </w:footnote>
  <w:footnote w:id="35">
    <w:p w:rsidR="0066047B" w:rsidRPr="00C64AE8" w:rsidRDefault="0066047B">
      <w:pPr>
        <w:pStyle w:val="FootnoteText"/>
      </w:pPr>
      <w:r>
        <w:rPr>
          <w:rStyle w:val="FootnoteReference"/>
        </w:rPr>
        <w:footnoteRef/>
      </w:r>
      <w:r>
        <w:t xml:space="preserve"> </w:t>
      </w:r>
      <w:proofErr w:type="gramStart"/>
      <w:r w:rsidRPr="00C64AE8">
        <w:rPr>
          <w:color w:val="000000"/>
        </w:rPr>
        <w:t>[2006] UKPC 23</w:t>
      </w:r>
      <w:r>
        <w:rPr>
          <w:color w:val="000000"/>
        </w:rPr>
        <w:t>, para.</w:t>
      </w:r>
      <w:proofErr w:type="gramEnd"/>
      <w:r>
        <w:rPr>
          <w:color w:val="000000"/>
        </w:rPr>
        <w:t xml:space="preserve"> 22</w:t>
      </w:r>
    </w:p>
  </w:footnote>
  <w:footnote w:id="36">
    <w:p w:rsidR="0066047B" w:rsidRPr="002F5D1A" w:rsidRDefault="0066047B">
      <w:pPr>
        <w:pStyle w:val="FootnoteText"/>
      </w:pPr>
      <w:r>
        <w:rPr>
          <w:rStyle w:val="FootnoteReference"/>
        </w:rPr>
        <w:footnoteRef/>
      </w:r>
      <w:r>
        <w:t xml:space="preserve"> </w:t>
      </w:r>
      <w:proofErr w:type="gramStart"/>
      <w:r>
        <w:t xml:space="preserve">[2011] </w:t>
      </w:r>
      <w:r w:rsidRPr="002F5D1A">
        <w:rPr>
          <w:color w:val="000000"/>
        </w:rPr>
        <w:t>UKPC 16</w:t>
      </w:r>
      <w:r>
        <w:rPr>
          <w:color w:val="000000"/>
        </w:rPr>
        <w:t>, para.</w:t>
      </w:r>
      <w:proofErr w:type="gramEnd"/>
      <w:r>
        <w:rPr>
          <w:color w:val="000000"/>
        </w:rPr>
        <w:t xml:space="preserve"> 21</w:t>
      </w:r>
    </w:p>
  </w:footnote>
  <w:footnote w:id="37">
    <w:p w:rsidR="0066047B" w:rsidRDefault="0066047B">
      <w:pPr>
        <w:pStyle w:val="FootnoteText"/>
      </w:pPr>
      <w:r>
        <w:rPr>
          <w:rStyle w:val="FootnoteReference"/>
        </w:rPr>
        <w:footnoteRef/>
      </w:r>
      <w:r>
        <w:t xml:space="preserve"> </w:t>
      </w:r>
      <w:proofErr w:type="gramStart"/>
      <w:r>
        <w:t>At para.</w:t>
      </w:r>
      <w:proofErr w:type="gramEnd"/>
      <w:r>
        <w:t xml:space="preserve"> 22</w:t>
      </w:r>
    </w:p>
  </w:footnote>
  <w:footnote w:id="38">
    <w:p w:rsidR="0066047B" w:rsidRDefault="0066047B">
      <w:pPr>
        <w:pStyle w:val="FootnoteText"/>
      </w:pPr>
      <w:r>
        <w:rPr>
          <w:rStyle w:val="FootnoteReference"/>
        </w:rPr>
        <w:footnoteRef/>
      </w:r>
      <w:r>
        <w:t xml:space="preserve"> </w:t>
      </w:r>
      <w:proofErr w:type="gramStart"/>
      <w:r>
        <w:t>At para.</w:t>
      </w:r>
      <w:proofErr w:type="gramEnd"/>
      <w:r>
        <w:t xml:space="preserve"> 31</w:t>
      </w:r>
    </w:p>
  </w:footnote>
  <w:footnote w:id="39">
    <w:p w:rsidR="0066047B" w:rsidRDefault="0066047B">
      <w:pPr>
        <w:pStyle w:val="FootnoteText"/>
      </w:pPr>
      <w:r>
        <w:rPr>
          <w:rStyle w:val="FootnoteReference"/>
        </w:rPr>
        <w:footnoteRef/>
      </w:r>
      <w:r>
        <w:t xml:space="preserve"> [2012] UKPC 12</w:t>
      </w:r>
    </w:p>
  </w:footnote>
  <w:footnote w:id="40">
    <w:p w:rsidR="0066047B" w:rsidRDefault="0066047B">
      <w:pPr>
        <w:pStyle w:val="FootnoteText"/>
      </w:pPr>
      <w:r>
        <w:rPr>
          <w:rStyle w:val="FootnoteReference"/>
        </w:rPr>
        <w:footnoteRef/>
      </w:r>
      <w:r>
        <w:t xml:space="preserve"> [2012] UKPC 2</w:t>
      </w:r>
    </w:p>
  </w:footnote>
  <w:footnote w:id="41">
    <w:p w:rsidR="0066047B" w:rsidRPr="008428A3" w:rsidRDefault="0066047B">
      <w:pPr>
        <w:pStyle w:val="FootnoteText"/>
      </w:pPr>
      <w:r>
        <w:rPr>
          <w:rStyle w:val="FootnoteReference"/>
        </w:rPr>
        <w:footnoteRef/>
      </w:r>
      <w:r>
        <w:t xml:space="preserve"> </w:t>
      </w:r>
      <w:r w:rsidRPr="008428A3">
        <w:rPr>
          <w:color w:val="000000"/>
        </w:rPr>
        <w:t>[2014] UKPC 2</w:t>
      </w:r>
    </w:p>
  </w:footnote>
  <w:footnote w:id="42">
    <w:p w:rsidR="0066047B" w:rsidRDefault="0066047B">
      <w:pPr>
        <w:pStyle w:val="FootnoteText"/>
      </w:pPr>
      <w:r>
        <w:rPr>
          <w:rStyle w:val="FootnoteReference"/>
        </w:rPr>
        <w:footnoteRef/>
      </w:r>
      <w:r>
        <w:t xml:space="preserve"> Cross &amp; Tapper, op. cit., page 339, citing </w:t>
      </w:r>
      <w:r w:rsidRPr="009360EB">
        <w:rPr>
          <w:b/>
        </w:rPr>
        <w:t>R v Turner</w:t>
      </w:r>
      <w:r>
        <w:t xml:space="preserve"> (1664) 6 State </w:t>
      </w:r>
      <w:proofErr w:type="spellStart"/>
      <w:r>
        <w:t>Tr</w:t>
      </w:r>
      <w:proofErr w:type="spellEnd"/>
      <w:r>
        <w:t xml:space="preserve"> 565, 613 and </w:t>
      </w:r>
      <w:r w:rsidRPr="009360EB">
        <w:rPr>
          <w:b/>
        </w:rPr>
        <w:t>R v Harris</w:t>
      </w:r>
      <w:r>
        <w:t xml:space="preserve"> (1680) 7 State </w:t>
      </w:r>
      <w:proofErr w:type="spellStart"/>
      <w:r>
        <w:t>Tr</w:t>
      </w:r>
      <w:proofErr w:type="spellEnd"/>
      <w:r>
        <w:t xml:space="preserve"> 926, 929</w:t>
      </w:r>
    </w:p>
  </w:footnote>
  <w:footnote w:id="43">
    <w:p w:rsidR="0066047B" w:rsidRDefault="0066047B">
      <w:pPr>
        <w:pStyle w:val="FootnoteText"/>
      </w:pPr>
      <w:r>
        <w:rPr>
          <w:rStyle w:val="FootnoteReference"/>
        </w:rPr>
        <w:footnoteRef/>
      </w:r>
      <w:r>
        <w:t xml:space="preserve"> [1993] 3 All ER 241</w:t>
      </w:r>
    </w:p>
  </w:footnote>
  <w:footnote w:id="44">
    <w:p w:rsidR="0066047B" w:rsidRDefault="0066047B">
      <w:pPr>
        <w:pStyle w:val="FootnoteText"/>
      </w:pPr>
      <w:r>
        <w:rPr>
          <w:rStyle w:val="FootnoteReference"/>
        </w:rPr>
        <w:footnoteRef/>
      </w:r>
      <w:r>
        <w:t xml:space="preserve"> [1995] 3 All ER 149</w:t>
      </w:r>
    </w:p>
  </w:footnote>
  <w:footnote w:id="45">
    <w:p w:rsidR="0066047B" w:rsidRDefault="0066047B">
      <w:pPr>
        <w:pStyle w:val="FootnoteText"/>
      </w:pPr>
      <w:r>
        <w:rPr>
          <w:rStyle w:val="FootnoteReference"/>
        </w:rPr>
        <w:footnoteRef/>
      </w:r>
      <w:r>
        <w:t xml:space="preserve"> At page 156</w:t>
      </w:r>
    </w:p>
  </w:footnote>
  <w:footnote w:id="46">
    <w:p w:rsidR="0066047B" w:rsidRDefault="0066047B">
      <w:pPr>
        <w:pStyle w:val="FootnoteText"/>
      </w:pPr>
      <w:r>
        <w:rPr>
          <w:rStyle w:val="FootnoteReference"/>
        </w:rPr>
        <w:footnoteRef/>
      </w:r>
      <w:r>
        <w:t xml:space="preserve"> </w:t>
      </w:r>
      <w:r w:rsidRPr="00E64D71">
        <w:rPr>
          <w:color w:val="000000"/>
        </w:rPr>
        <w:t>[2005] UKPC 14</w:t>
      </w:r>
    </w:p>
  </w:footnote>
  <w:footnote w:id="47">
    <w:p w:rsidR="0066047B" w:rsidRDefault="0066047B">
      <w:pPr>
        <w:pStyle w:val="FootnoteText"/>
      </w:pPr>
      <w:r>
        <w:rPr>
          <w:rStyle w:val="FootnoteReference"/>
        </w:rPr>
        <w:footnoteRef/>
      </w:r>
      <w:r>
        <w:t xml:space="preserve"> </w:t>
      </w:r>
      <w:proofErr w:type="gramStart"/>
      <w:r>
        <w:t>At para.</w:t>
      </w:r>
      <w:proofErr w:type="gramEnd"/>
      <w:r>
        <w:t xml:space="preserve"> 33</w:t>
      </w:r>
    </w:p>
  </w:footnote>
  <w:footnote w:id="48">
    <w:p w:rsidR="0066047B" w:rsidRDefault="0066047B">
      <w:pPr>
        <w:pStyle w:val="FootnoteText"/>
      </w:pPr>
      <w:r>
        <w:rPr>
          <w:rStyle w:val="FootnoteReference"/>
        </w:rPr>
        <w:footnoteRef/>
      </w:r>
      <w:r>
        <w:t xml:space="preserve"> </w:t>
      </w:r>
      <w:proofErr w:type="gramStart"/>
      <w:r w:rsidRPr="004442F3">
        <w:rPr>
          <w:color w:val="000000"/>
        </w:rPr>
        <w:t>[2010] UKPC 26</w:t>
      </w:r>
      <w:r>
        <w:rPr>
          <w:color w:val="000000"/>
        </w:rPr>
        <w:t>, para.</w:t>
      </w:r>
      <w:proofErr w:type="gramEnd"/>
      <w:r>
        <w:rPr>
          <w:color w:val="000000"/>
        </w:rPr>
        <w:t xml:space="preserve"> 42</w:t>
      </w:r>
    </w:p>
  </w:footnote>
  <w:footnote w:id="49">
    <w:p w:rsidR="0066047B" w:rsidRDefault="0066047B">
      <w:pPr>
        <w:pStyle w:val="FootnoteText"/>
      </w:pPr>
      <w:r>
        <w:rPr>
          <w:rStyle w:val="FootnoteReference"/>
        </w:rPr>
        <w:footnoteRef/>
      </w:r>
      <w:r>
        <w:t xml:space="preserve"> </w:t>
      </w:r>
      <w:hyperlink r:id="rId3" w:tooltip="Link to BAILII version" w:history="1">
        <w:r w:rsidRPr="00DE507B">
          <w:rPr>
            <w:rStyle w:val="Hyperlink"/>
            <w:rFonts w:cs="Tahoma"/>
            <w:bCs/>
            <w:color w:val="auto"/>
            <w:u w:val="none"/>
          </w:rPr>
          <w:t>[2005] UKPC 2</w:t>
        </w:r>
      </w:hyperlink>
    </w:p>
  </w:footnote>
  <w:footnote w:id="50">
    <w:p w:rsidR="0066047B" w:rsidRDefault="0066047B">
      <w:pPr>
        <w:pStyle w:val="FootnoteText"/>
      </w:pPr>
      <w:r>
        <w:rPr>
          <w:rStyle w:val="FootnoteReference"/>
        </w:rPr>
        <w:footnoteRef/>
      </w:r>
      <w:r>
        <w:t xml:space="preserve"> </w:t>
      </w:r>
      <w:proofErr w:type="gramStart"/>
      <w:r>
        <w:t>At para.</w:t>
      </w:r>
      <w:proofErr w:type="gramEnd"/>
      <w:r>
        <w:t xml:space="preserve"> 38</w:t>
      </w:r>
    </w:p>
  </w:footnote>
  <w:footnote w:id="51">
    <w:p w:rsidR="0066047B" w:rsidRDefault="0066047B">
      <w:pPr>
        <w:pStyle w:val="FootnoteText"/>
      </w:pPr>
      <w:r>
        <w:rPr>
          <w:rStyle w:val="FootnoteReference"/>
        </w:rPr>
        <w:footnoteRef/>
      </w:r>
      <w:r>
        <w:t xml:space="preserve"> </w:t>
      </w:r>
      <w:hyperlink r:id="rId4" w:tooltip="Link to BAILII version" w:history="1">
        <w:r w:rsidRPr="00EF4643">
          <w:rPr>
            <w:rStyle w:val="Hyperlink"/>
            <w:rFonts w:cs="Tahoma"/>
            <w:bCs/>
            <w:color w:val="auto"/>
            <w:u w:val="none"/>
          </w:rPr>
          <w:t>[2005] UKPC 18</w:t>
        </w:r>
      </w:hyperlink>
    </w:p>
  </w:footnote>
  <w:footnote w:id="52">
    <w:p w:rsidR="0066047B" w:rsidRDefault="0066047B">
      <w:pPr>
        <w:pStyle w:val="FootnoteText"/>
      </w:pPr>
      <w:r>
        <w:rPr>
          <w:rStyle w:val="FootnoteReference"/>
        </w:rPr>
        <w:footnoteRef/>
      </w:r>
      <w:r>
        <w:t xml:space="preserve"> </w:t>
      </w:r>
      <w:proofErr w:type="gramStart"/>
      <w:r>
        <w:t>At para.</w:t>
      </w:r>
      <w:proofErr w:type="gramEnd"/>
      <w:r>
        <w:t xml:space="preserve"> 38</w:t>
      </w:r>
    </w:p>
  </w:footnote>
  <w:footnote w:id="53">
    <w:p w:rsidR="0066047B" w:rsidRPr="008E225E" w:rsidRDefault="0066047B">
      <w:pPr>
        <w:pStyle w:val="FootnoteText"/>
      </w:pPr>
      <w:r>
        <w:rPr>
          <w:rStyle w:val="FootnoteReference"/>
        </w:rPr>
        <w:footnoteRef/>
      </w:r>
      <w:r>
        <w:t xml:space="preserve"> </w:t>
      </w:r>
      <w:hyperlink r:id="rId5" w:tooltip="Link to BAILII version" w:history="1">
        <w:proofErr w:type="gramStart"/>
        <w:r w:rsidRPr="008E225E">
          <w:rPr>
            <w:rStyle w:val="Hyperlink"/>
            <w:rFonts w:cs="Tahoma"/>
            <w:bCs/>
            <w:color w:val="auto"/>
            <w:u w:val="none"/>
          </w:rPr>
          <w:t>[2005] UKPC 35</w:t>
        </w:r>
      </w:hyperlink>
      <w:r>
        <w:rPr>
          <w:rFonts w:cs="Tahoma"/>
          <w:bCs/>
        </w:rPr>
        <w:t>, para.</w:t>
      </w:r>
      <w:proofErr w:type="gramEnd"/>
      <w:r>
        <w:rPr>
          <w:rFonts w:cs="Tahoma"/>
          <w:bCs/>
        </w:rPr>
        <w:t xml:space="preserve"> 25</w:t>
      </w:r>
    </w:p>
  </w:footnote>
  <w:footnote w:id="54">
    <w:p w:rsidR="0066047B" w:rsidRPr="008E225E" w:rsidRDefault="0066047B" w:rsidP="00C13DB6">
      <w:pPr>
        <w:pStyle w:val="FootnoteText"/>
        <w:jc w:val="both"/>
        <w:rPr>
          <w:rFonts w:cs="Tahoma"/>
        </w:rPr>
      </w:pPr>
      <w:r>
        <w:rPr>
          <w:rStyle w:val="FootnoteReference"/>
        </w:rPr>
        <w:footnoteRef/>
      </w:r>
      <w:r>
        <w:t xml:space="preserve"> See also </w:t>
      </w:r>
      <w:bookmarkStart w:id="17" w:name="para43"/>
      <w:proofErr w:type="spellStart"/>
      <w:r w:rsidRPr="008E225E">
        <w:rPr>
          <w:rFonts w:cs="Tahoma"/>
          <w:b/>
          <w:bCs/>
          <w:iCs/>
          <w:color w:val="000000"/>
        </w:rPr>
        <w:t>Bhola</w:t>
      </w:r>
      <w:proofErr w:type="spellEnd"/>
      <w:r w:rsidRPr="008E225E">
        <w:rPr>
          <w:rFonts w:cs="Tahoma"/>
          <w:b/>
          <w:bCs/>
          <w:iCs/>
          <w:color w:val="000000"/>
        </w:rPr>
        <w:t xml:space="preserve"> v The State</w:t>
      </w:r>
      <w:r w:rsidRPr="008E225E">
        <w:rPr>
          <w:rStyle w:val="apple-converted-space"/>
          <w:rFonts w:cs="Tahoma"/>
          <w:bCs/>
          <w:i/>
          <w:iCs/>
          <w:color w:val="000000"/>
        </w:rPr>
        <w:t> </w:t>
      </w:r>
      <w:bookmarkEnd w:id="17"/>
      <w:r w:rsidR="00D611B9" w:rsidRPr="008E225E">
        <w:rPr>
          <w:rFonts w:cs="Tahoma"/>
          <w:bCs/>
        </w:rPr>
        <w:fldChar w:fldCharType="begin"/>
      </w:r>
      <w:r w:rsidRPr="008E225E">
        <w:rPr>
          <w:rFonts w:cs="Tahoma"/>
          <w:bCs/>
        </w:rPr>
        <w:instrText xml:space="preserve"> HYPERLINK "http://www.bailii.org/uk/cases/UKPC/2006/9.html" \o "Link to BAILII version" </w:instrText>
      </w:r>
      <w:r w:rsidR="00D611B9" w:rsidRPr="008E225E">
        <w:rPr>
          <w:rFonts w:cs="Tahoma"/>
          <w:bCs/>
        </w:rPr>
        <w:fldChar w:fldCharType="separate"/>
      </w:r>
      <w:r w:rsidRPr="008E225E">
        <w:rPr>
          <w:rStyle w:val="Hyperlink"/>
          <w:rFonts w:cs="Tahoma"/>
          <w:bCs/>
          <w:color w:val="auto"/>
          <w:u w:val="none"/>
        </w:rPr>
        <w:t>[2006] UKPC 9</w:t>
      </w:r>
      <w:r w:rsidR="00D611B9" w:rsidRPr="008E225E">
        <w:rPr>
          <w:rFonts w:cs="Tahoma"/>
          <w:bCs/>
        </w:rPr>
        <w:fldChar w:fldCharType="end"/>
      </w:r>
      <w:r>
        <w:rPr>
          <w:rFonts w:cs="Tahoma"/>
          <w:bCs/>
        </w:rPr>
        <w:t xml:space="preserve">, para. 14, where, after discussing these cases, Lord Brown concluded that, contrary to the suggestion in </w:t>
      </w:r>
      <w:proofErr w:type="spellStart"/>
      <w:r w:rsidRPr="00C13DB6">
        <w:rPr>
          <w:rFonts w:cs="Tahoma"/>
          <w:b/>
          <w:bCs/>
        </w:rPr>
        <w:t>Teeluck</w:t>
      </w:r>
      <w:proofErr w:type="spellEnd"/>
      <w:r>
        <w:rPr>
          <w:rFonts w:cs="Tahoma"/>
          <w:bCs/>
        </w:rPr>
        <w:t>, “</w:t>
      </w:r>
      <w:r w:rsidRPr="00C13DB6">
        <w:rPr>
          <w:color w:val="000000"/>
        </w:rPr>
        <w:t xml:space="preserve">The cases where plainly the outcome of the trial would not have been affected by a good character direction may not after all be so </w:t>
      </w:r>
      <w:r>
        <w:rPr>
          <w:color w:val="000000"/>
        </w:rPr>
        <w:t>‘</w:t>
      </w:r>
      <w:r w:rsidRPr="00C13DB6">
        <w:rPr>
          <w:color w:val="000000"/>
        </w:rPr>
        <w:t>rare</w:t>
      </w:r>
      <w:r>
        <w:rPr>
          <w:color w:val="000000"/>
        </w:rPr>
        <w:t>’.”</w:t>
      </w:r>
    </w:p>
  </w:footnote>
  <w:footnote w:id="55">
    <w:p w:rsidR="0066047B" w:rsidRDefault="0066047B">
      <w:pPr>
        <w:pStyle w:val="FootnoteText"/>
      </w:pPr>
      <w:r>
        <w:rPr>
          <w:rStyle w:val="FootnoteReference"/>
        </w:rPr>
        <w:footnoteRef/>
      </w:r>
      <w:r>
        <w:t xml:space="preserve"> </w:t>
      </w:r>
      <w:proofErr w:type="gramStart"/>
      <w:r>
        <w:t>[2012] UKPC 2, para.</w:t>
      </w:r>
      <w:proofErr w:type="gramEnd"/>
      <w:r>
        <w:t xml:space="preserve"> 33</w:t>
      </w:r>
    </w:p>
  </w:footnote>
  <w:footnote w:id="56">
    <w:p w:rsidR="0066047B" w:rsidRDefault="0066047B">
      <w:pPr>
        <w:pStyle w:val="FootnoteText"/>
      </w:pPr>
      <w:r>
        <w:rPr>
          <w:rStyle w:val="FootnoteReference"/>
        </w:rPr>
        <w:footnoteRef/>
      </w:r>
      <w:r>
        <w:t xml:space="preserve"> </w:t>
      </w:r>
      <w:proofErr w:type="gramStart"/>
      <w:r>
        <w:t>At para.</w:t>
      </w:r>
      <w:proofErr w:type="gramEnd"/>
      <w:r>
        <w:t xml:space="preserve"> 45</w:t>
      </w:r>
    </w:p>
  </w:footnote>
  <w:footnote w:id="57">
    <w:p w:rsidR="0066047B" w:rsidRPr="00595334" w:rsidRDefault="0066047B">
      <w:pPr>
        <w:pStyle w:val="FootnoteText"/>
        <w:rPr>
          <w:b/>
        </w:rPr>
      </w:pPr>
      <w:r>
        <w:rPr>
          <w:rStyle w:val="FootnoteReference"/>
        </w:rPr>
        <w:footnoteRef/>
      </w:r>
      <w:r>
        <w:t xml:space="preserve"> [1998] AC 811</w:t>
      </w:r>
    </w:p>
  </w:footnote>
  <w:footnote w:id="58">
    <w:p w:rsidR="0066047B" w:rsidRDefault="0066047B">
      <w:pPr>
        <w:pStyle w:val="FootnoteText"/>
      </w:pPr>
      <w:r>
        <w:rPr>
          <w:rStyle w:val="FootnoteReference"/>
        </w:rPr>
        <w:footnoteRef/>
      </w:r>
      <w:r>
        <w:t xml:space="preserve"> </w:t>
      </w:r>
      <w:proofErr w:type="gramStart"/>
      <w:r>
        <w:t>At para.</w:t>
      </w:r>
      <w:proofErr w:type="gramEnd"/>
      <w:r>
        <w:t xml:space="preserve"> 73</w:t>
      </w:r>
    </w:p>
  </w:footnote>
  <w:footnote w:id="59">
    <w:p w:rsidR="0066047B" w:rsidRPr="00AC4AC8" w:rsidRDefault="0066047B" w:rsidP="00B534C8">
      <w:pPr>
        <w:spacing w:before="100" w:beforeAutospacing="1" w:after="100" w:afterAutospacing="1" w:line="240" w:lineRule="auto"/>
        <w:rPr>
          <w:sz w:val="20"/>
          <w:szCs w:val="20"/>
        </w:rPr>
      </w:pPr>
      <w:r>
        <w:rPr>
          <w:rStyle w:val="FootnoteReference"/>
        </w:rPr>
        <w:footnoteRef/>
      </w:r>
      <w:r>
        <w:t xml:space="preserve"> See for instance, </w:t>
      </w:r>
      <w:r w:rsidRPr="00AC4AC8">
        <w:rPr>
          <w:b/>
        </w:rPr>
        <w:t>Barrow v State of Trinidad &amp; Tobago</w:t>
      </w:r>
      <w:r>
        <w:t xml:space="preserve"> </w:t>
      </w:r>
      <w:r w:rsidRPr="00AC4AC8">
        <w:rPr>
          <w:color w:val="000000"/>
          <w:sz w:val="20"/>
          <w:szCs w:val="20"/>
          <w:shd w:val="clear" w:color="auto" w:fill="FFFFFF"/>
        </w:rPr>
        <w:t>[1998] UKPC 16</w:t>
      </w:r>
      <w:r>
        <w:rPr>
          <w:color w:val="000000"/>
          <w:shd w:val="clear" w:color="auto" w:fill="FFFFFF"/>
        </w:rPr>
        <w:t xml:space="preserve">, per Lord Lloyd at para. </w:t>
      </w:r>
      <w:proofErr w:type="gramStart"/>
      <w:r>
        <w:rPr>
          <w:color w:val="000000"/>
          <w:shd w:val="clear" w:color="auto" w:fill="FFFFFF"/>
        </w:rPr>
        <w:t xml:space="preserve">15; </w:t>
      </w:r>
      <w:proofErr w:type="spellStart"/>
      <w:r w:rsidRPr="00AC4AC8">
        <w:rPr>
          <w:b/>
          <w:color w:val="000000"/>
          <w:shd w:val="clear" w:color="auto" w:fill="FFFFFF"/>
        </w:rPr>
        <w:t>Teeluck</w:t>
      </w:r>
      <w:proofErr w:type="spellEnd"/>
      <w:r>
        <w:rPr>
          <w:b/>
          <w:color w:val="000000"/>
          <w:shd w:val="clear" w:color="auto" w:fill="FFFFFF"/>
        </w:rPr>
        <w:t xml:space="preserve"> </w:t>
      </w:r>
      <w:r w:rsidRPr="005D0CE8">
        <w:rPr>
          <w:color w:val="000000"/>
          <w:shd w:val="clear" w:color="auto" w:fill="FFFFFF"/>
        </w:rPr>
        <w:t>(supra)</w:t>
      </w:r>
      <w:r>
        <w:rPr>
          <w:color w:val="000000"/>
          <w:shd w:val="clear" w:color="auto" w:fill="FFFFFF"/>
        </w:rPr>
        <w:t xml:space="preserve">, per Lord </w:t>
      </w:r>
      <w:proofErr w:type="spellStart"/>
      <w:r>
        <w:rPr>
          <w:color w:val="000000"/>
          <w:shd w:val="clear" w:color="auto" w:fill="FFFFFF"/>
        </w:rPr>
        <w:t>Carswell</w:t>
      </w:r>
      <w:proofErr w:type="spellEnd"/>
      <w:r>
        <w:rPr>
          <w:color w:val="000000"/>
          <w:shd w:val="clear" w:color="auto" w:fill="FFFFFF"/>
        </w:rPr>
        <w:t>, at para.</w:t>
      </w:r>
      <w:proofErr w:type="gramEnd"/>
      <w:r>
        <w:rPr>
          <w:color w:val="000000"/>
          <w:shd w:val="clear" w:color="auto" w:fill="FFFFFF"/>
        </w:rPr>
        <w:t xml:space="preserve"> 33(iv);</w:t>
      </w:r>
      <w:r>
        <w:rPr>
          <w:rStyle w:val="apple-converted-space"/>
          <w:b/>
          <w:bCs/>
          <w:color w:val="000000"/>
          <w:sz w:val="27"/>
          <w:szCs w:val="27"/>
        </w:rPr>
        <w:t> </w:t>
      </w:r>
      <w:proofErr w:type="spellStart"/>
      <w:r w:rsidRPr="00B534C8">
        <w:rPr>
          <w:b/>
          <w:bCs/>
          <w:iCs/>
          <w:color w:val="000000"/>
          <w:sz w:val="20"/>
          <w:szCs w:val="20"/>
        </w:rPr>
        <w:t>Sealey</w:t>
      </w:r>
      <w:proofErr w:type="spellEnd"/>
      <w:r w:rsidRPr="00B534C8">
        <w:rPr>
          <w:b/>
          <w:bCs/>
          <w:iCs/>
          <w:color w:val="000000"/>
          <w:sz w:val="20"/>
          <w:szCs w:val="20"/>
        </w:rPr>
        <w:t xml:space="preserve"> v State</w:t>
      </w:r>
      <w:r>
        <w:rPr>
          <w:b/>
          <w:bCs/>
          <w:iCs/>
          <w:color w:val="000000"/>
          <w:sz w:val="20"/>
          <w:szCs w:val="20"/>
        </w:rPr>
        <w:t xml:space="preserve"> </w:t>
      </w:r>
      <w:r w:rsidRPr="00B534C8">
        <w:rPr>
          <w:b/>
          <w:bCs/>
          <w:iCs/>
          <w:color w:val="000000"/>
          <w:sz w:val="20"/>
          <w:szCs w:val="20"/>
        </w:rPr>
        <w:t>of Trinidad &amp; Tobago</w:t>
      </w:r>
      <w:r>
        <w:rPr>
          <w:b/>
          <w:bCs/>
          <w:iCs/>
          <w:color w:val="000000"/>
          <w:sz w:val="20"/>
          <w:szCs w:val="20"/>
        </w:rPr>
        <w:t xml:space="preserve"> </w:t>
      </w:r>
      <w:r w:rsidRPr="00B534C8">
        <w:rPr>
          <w:bCs/>
          <w:iCs/>
          <w:color w:val="000000"/>
          <w:sz w:val="20"/>
          <w:szCs w:val="20"/>
        </w:rPr>
        <w:t>(2002) 69 WIR 491</w:t>
      </w:r>
      <w:r>
        <w:rPr>
          <w:bCs/>
          <w:iCs/>
          <w:color w:val="000000"/>
          <w:sz w:val="20"/>
          <w:szCs w:val="20"/>
        </w:rPr>
        <w:t xml:space="preserve">;  </w:t>
      </w:r>
      <w:bookmarkStart w:id="21" w:name="para44"/>
      <w:r w:rsidRPr="00B534C8">
        <w:rPr>
          <w:b/>
          <w:bCs/>
          <w:iCs/>
          <w:color w:val="000000"/>
          <w:sz w:val="20"/>
          <w:szCs w:val="20"/>
        </w:rPr>
        <w:t>Nigel Brown</w:t>
      </w:r>
      <w:bookmarkEnd w:id="21"/>
      <w:r>
        <w:rPr>
          <w:b/>
          <w:bCs/>
          <w:iCs/>
          <w:color w:val="000000"/>
          <w:sz w:val="20"/>
          <w:szCs w:val="20"/>
        </w:rPr>
        <w:t xml:space="preserve"> </w:t>
      </w:r>
      <w:r w:rsidRPr="005D0CE8">
        <w:rPr>
          <w:bCs/>
          <w:iCs/>
          <w:color w:val="000000"/>
          <w:sz w:val="20"/>
          <w:szCs w:val="20"/>
        </w:rPr>
        <w:t>(supra)</w:t>
      </w:r>
      <w:r>
        <w:rPr>
          <w:bCs/>
          <w:iCs/>
          <w:color w:val="000000"/>
          <w:sz w:val="20"/>
          <w:szCs w:val="20"/>
        </w:rPr>
        <w:t xml:space="preserve">; and </w:t>
      </w:r>
      <w:r w:rsidRPr="0067474E">
        <w:rPr>
          <w:b/>
          <w:bCs/>
          <w:iCs/>
          <w:color w:val="000000"/>
          <w:sz w:val="20"/>
          <w:szCs w:val="20"/>
        </w:rPr>
        <w:t>Lawrence</w:t>
      </w:r>
      <w:r>
        <w:rPr>
          <w:b/>
          <w:bCs/>
          <w:iCs/>
          <w:color w:val="000000"/>
          <w:sz w:val="20"/>
          <w:szCs w:val="20"/>
        </w:rPr>
        <w:t xml:space="preserve"> </w:t>
      </w:r>
      <w:r w:rsidRPr="0067474E">
        <w:rPr>
          <w:bCs/>
          <w:iCs/>
          <w:color w:val="000000"/>
          <w:sz w:val="20"/>
          <w:szCs w:val="20"/>
        </w:rPr>
        <w:t>(supra), per Lord Hodge, at para. 25.</w:t>
      </w:r>
    </w:p>
  </w:footnote>
  <w:footnote w:id="60">
    <w:p w:rsidR="0066047B" w:rsidRDefault="0066047B">
      <w:pPr>
        <w:pStyle w:val="FootnoteText"/>
      </w:pPr>
      <w:r>
        <w:rPr>
          <w:rStyle w:val="FootnoteReference"/>
        </w:rPr>
        <w:footnoteRef/>
      </w:r>
      <w:r>
        <w:t xml:space="preserve"> [2006] UKPC 15</w:t>
      </w:r>
    </w:p>
  </w:footnote>
  <w:footnote w:id="61">
    <w:p w:rsidR="0066047B" w:rsidRDefault="0066047B">
      <w:pPr>
        <w:pStyle w:val="FootnoteText"/>
      </w:pPr>
      <w:r>
        <w:rPr>
          <w:rStyle w:val="FootnoteReference"/>
        </w:rPr>
        <w:footnoteRef/>
      </w:r>
      <w:r>
        <w:t xml:space="preserve"> </w:t>
      </w:r>
      <w:proofErr w:type="gramStart"/>
      <w:r>
        <w:t>At para.</w:t>
      </w:r>
      <w:proofErr w:type="gramEnd"/>
      <w:r>
        <w:t xml:space="preserve"> 17</w:t>
      </w:r>
    </w:p>
  </w:footnote>
  <w:footnote w:id="62">
    <w:p w:rsidR="0066047B" w:rsidRDefault="0066047B">
      <w:pPr>
        <w:pStyle w:val="FootnoteText"/>
      </w:pPr>
      <w:r>
        <w:rPr>
          <w:rStyle w:val="FootnoteReference"/>
        </w:rPr>
        <w:footnoteRef/>
      </w:r>
      <w:r>
        <w:t xml:space="preserve"> </w:t>
      </w:r>
      <w:proofErr w:type="gramStart"/>
      <w:r>
        <w:t>At para.</w:t>
      </w:r>
      <w:proofErr w:type="gramEnd"/>
      <w:r>
        <w:t xml:space="preserve"> 21</w:t>
      </w:r>
    </w:p>
  </w:footnote>
  <w:footnote w:id="63">
    <w:p w:rsidR="0066047B" w:rsidRDefault="0066047B">
      <w:pPr>
        <w:pStyle w:val="FootnoteText"/>
      </w:pPr>
      <w:r>
        <w:rPr>
          <w:rStyle w:val="FootnoteReference"/>
        </w:rPr>
        <w:footnoteRef/>
      </w:r>
      <w:r>
        <w:t xml:space="preserve"> </w:t>
      </w:r>
      <w:proofErr w:type="gramStart"/>
      <w:r>
        <w:t xml:space="preserve">At </w:t>
      </w:r>
      <w:r>
        <w:rPr>
          <w:bCs/>
        </w:rPr>
        <w:t>para.</w:t>
      </w:r>
      <w:proofErr w:type="gramEnd"/>
      <w:r>
        <w:rPr>
          <w:bCs/>
        </w:rPr>
        <w:t xml:space="preserve"> 30</w:t>
      </w:r>
    </w:p>
  </w:footnote>
  <w:footnote w:id="64">
    <w:p w:rsidR="0066047B" w:rsidRPr="007045C9" w:rsidRDefault="0066047B">
      <w:pPr>
        <w:pStyle w:val="FootnoteText"/>
      </w:pPr>
      <w:r>
        <w:rPr>
          <w:rStyle w:val="FootnoteReference"/>
        </w:rPr>
        <w:footnoteRef/>
      </w:r>
      <w:r>
        <w:t xml:space="preserve"> </w:t>
      </w:r>
      <w:hyperlink r:id="rId6" w:tooltip="Link to BAILII version" w:history="1">
        <w:r w:rsidRPr="007045C9">
          <w:rPr>
            <w:rStyle w:val="Hyperlink"/>
            <w:rFonts w:cs="Tahoma"/>
            <w:color w:val="auto"/>
            <w:u w:val="none"/>
          </w:rPr>
          <w:t>(1998) 55 WIR 394</w:t>
        </w:r>
      </w:hyperlink>
      <w:r w:rsidRPr="007045C9">
        <w:rPr>
          <w:rFonts w:cs="Tahoma"/>
        </w:rPr>
        <w:t>, 398</w:t>
      </w:r>
    </w:p>
  </w:footnote>
  <w:footnote w:id="65">
    <w:p w:rsidR="0066047B" w:rsidRDefault="0066047B">
      <w:pPr>
        <w:pStyle w:val="FootnoteText"/>
      </w:pPr>
      <w:r>
        <w:rPr>
          <w:rStyle w:val="FootnoteReference"/>
        </w:rPr>
        <w:footnoteRef/>
      </w:r>
      <w:r>
        <w:t xml:space="preserve"> See also, </w:t>
      </w:r>
      <w:proofErr w:type="spellStart"/>
      <w:r w:rsidRPr="001452EA">
        <w:rPr>
          <w:b/>
        </w:rPr>
        <w:t>Muirhead</w:t>
      </w:r>
      <w:proofErr w:type="spellEnd"/>
      <w:r w:rsidRPr="001452EA">
        <w:rPr>
          <w:b/>
        </w:rPr>
        <w:t xml:space="preserve"> v R </w:t>
      </w:r>
      <w:r w:rsidRPr="001452EA">
        <w:rPr>
          <w:color w:val="000000"/>
        </w:rPr>
        <w:t>[2008] UKPC 40, para. 27</w:t>
      </w:r>
    </w:p>
  </w:footnote>
  <w:footnote w:id="66">
    <w:p w:rsidR="0066047B" w:rsidRDefault="0066047B">
      <w:pPr>
        <w:pStyle w:val="FootnoteText"/>
      </w:pPr>
      <w:r>
        <w:rPr>
          <w:rStyle w:val="FootnoteReference"/>
        </w:rPr>
        <w:footnoteRef/>
      </w:r>
      <w:r>
        <w:t xml:space="preserve"> </w:t>
      </w:r>
      <w:proofErr w:type="gramStart"/>
      <w:r>
        <w:t>(2011) 79 WIR 409, para.</w:t>
      </w:r>
      <w:proofErr w:type="gramEnd"/>
      <w:r>
        <w:t xml:space="preserve"> [15]</w:t>
      </w:r>
    </w:p>
  </w:footnote>
  <w:footnote w:id="67">
    <w:p w:rsidR="0066047B" w:rsidRPr="005460E3" w:rsidRDefault="0066047B">
      <w:pPr>
        <w:pStyle w:val="FootnoteText"/>
      </w:pPr>
      <w:r>
        <w:rPr>
          <w:rStyle w:val="FootnoteReference"/>
        </w:rPr>
        <w:footnoteRef/>
      </w:r>
      <w:r>
        <w:t xml:space="preserve"> </w:t>
      </w:r>
      <w:proofErr w:type="gramStart"/>
      <w:r>
        <w:t>At para.</w:t>
      </w:r>
      <w:proofErr w:type="gramEnd"/>
      <w:r>
        <w:t xml:space="preserve"> 23, echoing Lord Kerr in </w:t>
      </w:r>
      <w:r w:rsidRPr="005460E3">
        <w:rPr>
          <w:b/>
        </w:rPr>
        <w:t xml:space="preserve">France &amp; </w:t>
      </w:r>
      <w:proofErr w:type="spellStart"/>
      <w:r w:rsidRPr="005460E3">
        <w:rPr>
          <w:b/>
        </w:rPr>
        <w:t>Vassell</w:t>
      </w:r>
      <w:proofErr w:type="spellEnd"/>
      <w:r>
        <w:t>, para.48</w:t>
      </w:r>
    </w:p>
  </w:footnote>
  <w:footnote w:id="68">
    <w:p w:rsidR="0066047B" w:rsidRDefault="0066047B">
      <w:pPr>
        <w:pStyle w:val="FootnoteText"/>
      </w:pPr>
      <w:r>
        <w:rPr>
          <w:rStyle w:val="FootnoteReference"/>
        </w:rPr>
        <w:footnoteRef/>
      </w:r>
      <w:r>
        <w:t xml:space="preserve"> The most recent statement is that of Lord Hodge in </w:t>
      </w:r>
      <w:r w:rsidRPr="00D652DE">
        <w:rPr>
          <w:b/>
        </w:rPr>
        <w:t>Lawrence</w:t>
      </w:r>
      <w:r>
        <w:t>, at para. 24</w:t>
      </w:r>
    </w:p>
  </w:footnote>
  <w:footnote w:id="69">
    <w:p w:rsidR="0066047B" w:rsidRDefault="0066047B">
      <w:pPr>
        <w:pStyle w:val="FootnoteText"/>
      </w:pPr>
      <w:r>
        <w:rPr>
          <w:rStyle w:val="FootnoteReference"/>
        </w:rPr>
        <w:footnoteRef/>
      </w:r>
      <w:r>
        <w:t xml:space="preserve"> Paras 39-42</w:t>
      </w:r>
    </w:p>
  </w:footnote>
  <w:footnote w:id="70">
    <w:p w:rsidR="0066047B" w:rsidRDefault="0066047B">
      <w:pPr>
        <w:pStyle w:val="FootnoteText"/>
      </w:pPr>
      <w:r>
        <w:rPr>
          <w:rStyle w:val="FootnoteReference"/>
        </w:rPr>
        <w:footnoteRef/>
      </w:r>
      <w:r>
        <w:t xml:space="preserve"> </w:t>
      </w:r>
      <w:proofErr w:type="gramStart"/>
      <w:r>
        <w:t>At para.</w:t>
      </w:r>
      <w:proofErr w:type="gramEnd"/>
      <w:r>
        <w:t xml:space="preserve"> 40</w:t>
      </w:r>
    </w:p>
  </w:footnote>
  <w:footnote w:id="71">
    <w:p w:rsidR="0066047B" w:rsidRDefault="0066047B">
      <w:pPr>
        <w:pStyle w:val="FootnoteText"/>
      </w:pPr>
      <w:r>
        <w:rPr>
          <w:rStyle w:val="FootnoteReference"/>
        </w:rPr>
        <w:footnoteRef/>
      </w:r>
      <w:r>
        <w:t xml:space="preserve"> At paras 41-42</w:t>
      </w:r>
    </w:p>
  </w:footnote>
  <w:footnote w:id="72">
    <w:p w:rsidR="0066047B" w:rsidRDefault="0066047B" w:rsidP="00825842">
      <w:pPr>
        <w:pStyle w:val="FootnoteText"/>
      </w:pPr>
      <w:r>
        <w:rPr>
          <w:rStyle w:val="FootnoteReference"/>
        </w:rPr>
        <w:footnoteRef/>
      </w:r>
      <w:r>
        <w:t xml:space="preserve"> </w:t>
      </w:r>
      <w:proofErr w:type="gramStart"/>
      <w:r>
        <w:t>At para.</w:t>
      </w:r>
      <w:proofErr w:type="gramEnd"/>
      <w:r>
        <w:t xml:space="preserve"> 15</w:t>
      </w:r>
    </w:p>
  </w:footnote>
  <w:footnote w:id="73">
    <w:p w:rsidR="0066047B" w:rsidRDefault="0066047B">
      <w:pPr>
        <w:pStyle w:val="FootnoteText"/>
      </w:pPr>
      <w:r>
        <w:rPr>
          <w:rStyle w:val="FootnoteReference"/>
        </w:rPr>
        <w:footnoteRef/>
      </w:r>
      <w:r>
        <w:t xml:space="preserve"> At page 158</w:t>
      </w:r>
    </w:p>
  </w:footnote>
  <w:footnote w:id="74">
    <w:p w:rsidR="0066047B" w:rsidRDefault="0066047B">
      <w:pPr>
        <w:pStyle w:val="FootnoteText"/>
      </w:pPr>
      <w:r>
        <w:rPr>
          <w:rStyle w:val="FootnoteReference"/>
        </w:rPr>
        <w:footnoteRef/>
      </w:r>
      <w:r>
        <w:t xml:space="preserve"> Cross &amp; Tapper, op. cit., page 339</w:t>
      </w:r>
    </w:p>
  </w:footnote>
  <w:footnote w:id="75">
    <w:p w:rsidR="0066047B" w:rsidRDefault="0066047B">
      <w:pPr>
        <w:pStyle w:val="FootnoteText"/>
      </w:pPr>
      <w:r>
        <w:rPr>
          <w:rStyle w:val="FootnoteReference"/>
        </w:rPr>
        <w:footnoteRef/>
      </w:r>
      <w:r>
        <w:t xml:space="preserve"> [2004] EWCA </w:t>
      </w:r>
      <w:proofErr w:type="spellStart"/>
      <w:r>
        <w:t>Crim</w:t>
      </w:r>
      <w:proofErr w:type="spellEnd"/>
      <w:r>
        <w:t xml:space="preserve"> 3520</w:t>
      </w:r>
    </w:p>
  </w:footnote>
  <w:footnote w:id="76">
    <w:p w:rsidR="0066047B" w:rsidRDefault="0066047B">
      <w:pPr>
        <w:pStyle w:val="FootnoteText"/>
      </w:pPr>
      <w:r>
        <w:rPr>
          <w:rStyle w:val="FootnoteReference"/>
        </w:rPr>
        <w:footnoteRef/>
      </w:r>
      <w:r>
        <w:t xml:space="preserve"> </w:t>
      </w:r>
      <w:proofErr w:type="gramStart"/>
      <w:r>
        <w:t>At para.</w:t>
      </w:r>
      <w:proofErr w:type="gramEnd"/>
      <w:r>
        <w:t xml:space="preserve"> 44</w:t>
      </w:r>
    </w:p>
  </w:footnote>
  <w:footnote w:id="77">
    <w:p w:rsidR="0066047B" w:rsidRDefault="0066047B">
      <w:pPr>
        <w:pStyle w:val="FootnoteText"/>
      </w:pPr>
      <w:r>
        <w:rPr>
          <w:rStyle w:val="FootnoteReference"/>
        </w:rPr>
        <w:footnoteRef/>
      </w:r>
      <w:r>
        <w:t xml:space="preserve"> See </w:t>
      </w:r>
      <w:r w:rsidRPr="00EF618D">
        <w:rPr>
          <w:b/>
        </w:rPr>
        <w:t>Ibrahim v R</w:t>
      </w:r>
      <w:r>
        <w:t xml:space="preserve"> [1914] AC 599, 609, per Lord Sumner</w:t>
      </w:r>
    </w:p>
  </w:footnote>
  <w:footnote w:id="78">
    <w:p w:rsidR="0066047B" w:rsidRDefault="0066047B">
      <w:pPr>
        <w:pStyle w:val="FootnoteText"/>
      </w:pPr>
      <w:r>
        <w:rPr>
          <w:rStyle w:val="FootnoteReference"/>
        </w:rPr>
        <w:footnoteRef/>
      </w:r>
      <w:r>
        <w:t xml:space="preserve"> See generally, The Modern Law of Evidence, by Adrian Keane and Paul </w:t>
      </w:r>
      <w:proofErr w:type="spellStart"/>
      <w:r>
        <w:t>McKeown</w:t>
      </w:r>
      <w:proofErr w:type="spellEnd"/>
      <w:r>
        <w:t>, 9</w:t>
      </w:r>
      <w:r w:rsidRPr="002F48AB">
        <w:rPr>
          <w:vertAlign w:val="superscript"/>
        </w:rPr>
        <w:t>th</w:t>
      </w:r>
      <w:r>
        <w:t xml:space="preserve"> </w:t>
      </w:r>
      <w:proofErr w:type="spellStart"/>
      <w:r>
        <w:t>edn</w:t>
      </w:r>
      <w:proofErr w:type="spellEnd"/>
      <w:r>
        <w:t>, page 365. The common law rule has now been given statutory effect in section 83 of the St Kitts &amp; Nevis Act.</w:t>
      </w:r>
    </w:p>
  </w:footnote>
  <w:footnote w:id="79">
    <w:p w:rsidR="0066047B" w:rsidRDefault="0066047B">
      <w:pPr>
        <w:pStyle w:val="FootnoteText"/>
      </w:pPr>
      <w:r>
        <w:rPr>
          <w:rStyle w:val="FootnoteReference"/>
        </w:rPr>
        <w:footnoteRef/>
      </w:r>
      <w:r>
        <w:t xml:space="preserve"> </w:t>
      </w:r>
      <w:r w:rsidRPr="00B97E1D">
        <w:rPr>
          <w:iCs/>
          <w:shd w:val="clear" w:color="auto" w:fill="FFFFFF"/>
        </w:rPr>
        <w:t>[1967] 1 All ER 948</w:t>
      </w:r>
      <w:r>
        <w:rPr>
          <w:iCs/>
          <w:shd w:val="clear" w:color="auto" w:fill="FFFFFF"/>
        </w:rPr>
        <w:t>,</w:t>
      </w:r>
      <w:r w:rsidRPr="00B97E1D">
        <w:rPr>
          <w:iCs/>
          <w:shd w:val="clear" w:color="auto" w:fill="FFFFFF"/>
        </w:rPr>
        <w:t xml:space="preserve"> 954</w:t>
      </w:r>
    </w:p>
  </w:footnote>
  <w:footnote w:id="80">
    <w:p w:rsidR="0066047B" w:rsidRDefault="0066047B" w:rsidP="005B4C3B">
      <w:pPr>
        <w:pStyle w:val="FootnoteText"/>
      </w:pPr>
      <w:r>
        <w:rPr>
          <w:rStyle w:val="FootnoteReference"/>
        </w:rPr>
        <w:footnoteRef/>
      </w:r>
      <w:r>
        <w:t xml:space="preserve"> </w:t>
      </w:r>
      <w:proofErr w:type="gramStart"/>
      <w:r>
        <w:t>(1976) 23 WIR 256, 266.</w:t>
      </w:r>
      <w:proofErr w:type="gramEnd"/>
      <w:r>
        <w:t xml:space="preserve"> Haynes C’s account of the history of the confession rule (at pages 261-265) in this important judgment, which explicitly foreshadowed the oft-cited judgment of the Privy Council in </w:t>
      </w:r>
      <w:proofErr w:type="spellStart"/>
      <w:r w:rsidRPr="00B410FE">
        <w:rPr>
          <w:b/>
        </w:rPr>
        <w:t>Adjodha</w:t>
      </w:r>
      <w:proofErr w:type="spellEnd"/>
      <w:r w:rsidRPr="00B410FE">
        <w:rPr>
          <w:b/>
        </w:rPr>
        <w:t xml:space="preserve"> v The State of Trinidad &amp; Tobago</w:t>
      </w:r>
      <w:r>
        <w:t xml:space="preserve"> [1981] 2 All ER 193, </w:t>
      </w:r>
      <w:r w:rsidR="00901873">
        <w:t>deserves to be read as long as the subject is studied</w:t>
      </w:r>
      <w:r>
        <w:t xml:space="preserve">. </w:t>
      </w:r>
    </w:p>
  </w:footnote>
  <w:footnote w:id="81">
    <w:p w:rsidR="0066047B" w:rsidRDefault="0066047B">
      <w:pPr>
        <w:pStyle w:val="FootnoteText"/>
      </w:pPr>
      <w:r>
        <w:rPr>
          <w:rStyle w:val="FootnoteReference"/>
        </w:rPr>
        <w:footnoteRef/>
      </w:r>
      <w:r>
        <w:t xml:space="preserve"> [2005] 1 WLR 1513</w:t>
      </w:r>
    </w:p>
  </w:footnote>
  <w:footnote w:id="82">
    <w:p w:rsidR="0066047B" w:rsidRDefault="0066047B">
      <w:pPr>
        <w:pStyle w:val="FootnoteText"/>
      </w:pPr>
      <w:r>
        <w:rPr>
          <w:rStyle w:val="FootnoteReference"/>
        </w:rPr>
        <w:footnoteRef/>
      </w:r>
      <w:r>
        <w:t xml:space="preserve"> See </w:t>
      </w:r>
      <w:r w:rsidRPr="0087061F">
        <w:rPr>
          <w:b/>
        </w:rPr>
        <w:t xml:space="preserve">Brown v Stott (Procurator Fiscal, </w:t>
      </w:r>
      <w:proofErr w:type="spellStart"/>
      <w:r w:rsidRPr="0087061F">
        <w:rPr>
          <w:b/>
        </w:rPr>
        <w:t>Dunfermline</w:t>
      </w:r>
      <w:proofErr w:type="spellEnd"/>
      <w:r w:rsidRPr="0087061F">
        <w:rPr>
          <w:b/>
        </w:rPr>
        <w:t>)</w:t>
      </w:r>
      <w:r>
        <w:t xml:space="preserve"> [2001] 2 All ER 97</w:t>
      </w:r>
    </w:p>
  </w:footnote>
  <w:footnote w:id="83">
    <w:p w:rsidR="0066047B" w:rsidRDefault="0066047B">
      <w:pPr>
        <w:pStyle w:val="FootnoteText"/>
      </w:pPr>
      <w:r>
        <w:rPr>
          <w:rStyle w:val="FootnoteReference"/>
        </w:rPr>
        <w:footnoteRef/>
      </w:r>
      <w:r>
        <w:t xml:space="preserve"> But see also section 83 of the St Kitts &amp; Nevis Act, which is in terms very similar to section 76(2) of PACE, thus arguably making </w:t>
      </w:r>
      <w:proofErr w:type="spellStart"/>
      <w:r w:rsidRPr="001D0162">
        <w:rPr>
          <w:b/>
        </w:rPr>
        <w:t>Mushtaq</w:t>
      </w:r>
      <w:proofErr w:type="spellEnd"/>
      <w:r w:rsidRPr="001D0162">
        <w:t xml:space="preserve"> directly applicable in that jurisdiction.</w:t>
      </w:r>
    </w:p>
  </w:footnote>
  <w:footnote w:id="84">
    <w:p w:rsidR="0066047B" w:rsidRDefault="0066047B">
      <w:pPr>
        <w:pStyle w:val="FootnoteText"/>
      </w:pPr>
      <w:r>
        <w:rPr>
          <w:rStyle w:val="FootnoteReference"/>
        </w:rPr>
        <w:footnoteRef/>
      </w:r>
      <w:r>
        <w:t xml:space="preserve"> </w:t>
      </w:r>
      <w:proofErr w:type="gramStart"/>
      <w:r>
        <w:t>[2007] UKPC 21, per Lord Phillips at para.</w:t>
      </w:r>
      <w:proofErr w:type="gramEnd"/>
      <w:r>
        <w:t xml:space="preserve"> 37</w:t>
      </w:r>
    </w:p>
  </w:footnote>
  <w:footnote w:id="85">
    <w:p w:rsidR="0066047B" w:rsidRDefault="0066047B">
      <w:pPr>
        <w:pStyle w:val="FootnoteText"/>
      </w:pPr>
      <w:r>
        <w:rPr>
          <w:rStyle w:val="FootnoteReference"/>
        </w:rPr>
        <w:footnoteRef/>
      </w:r>
      <w:r>
        <w:t xml:space="preserve"> </w:t>
      </w:r>
      <w:proofErr w:type="gramStart"/>
      <w:r>
        <w:t>Per Lord Phillips, at para.</w:t>
      </w:r>
      <w:proofErr w:type="gramEnd"/>
      <w:r>
        <w:t xml:space="preserve"> 35</w:t>
      </w:r>
    </w:p>
  </w:footnote>
  <w:footnote w:id="86">
    <w:p w:rsidR="0066047B" w:rsidRDefault="0066047B">
      <w:pPr>
        <w:pStyle w:val="FootnoteText"/>
      </w:pPr>
      <w:r>
        <w:rPr>
          <w:rStyle w:val="FootnoteReference"/>
        </w:rPr>
        <w:footnoteRef/>
      </w:r>
      <w:r>
        <w:t xml:space="preserve"> </w:t>
      </w:r>
      <w:r w:rsidRPr="006928A9">
        <w:rPr>
          <w:color w:val="000000"/>
        </w:rPr>
        <w:t>[2012] UKPC 8</w:t>
      </w:r>
    </w:p>
  </w:footnote>
  <w:footnote w:id="87">
    <w:p w:rsidR="0066047B" w:rsidRDefault="0066047B">
      <w:pPr>
        <w:pStyle w:val="FootnoteText"/>
      </w:pPr>
      <w:r>
        <w:rPr>
          <w:rStyle w:val="FootnoteReference"/>
        </w:rPr>
        <w:footnoteRef/>
      </w:r>
      <w:r>
        <w:t xml:space="preserve"> At paras 15-16</w:t>
      </w:r>
    </w:p>
  </w:footnote>
  <w:footnote w:id="88">
    <w:p w:rsidR="0066047B" w:rsidRDefault="0066047B">
      <w:pPr>
        <w:pStyle w:val="FootnoteText"/>
      </w:pPr>
      <w:r>
        <w:rPr>
          <w:rStyle w:val="FootnoteReference"/>
        </w:rPr>
        <w:footnoteRef/>
      </w:r>
      <w:r>
        <w:t xml:space="preserve"> And see now sections 67-75 of the St Kitts &amp; Nevis Act.</w:t>
      </w:r>
    </w:p>
  </w:footnote>
  <w:footnote w:id="89">
    <w:p w:rsidR="0066047B" w:rsidRDefault="0066047B">
      <w:pPr>
        <w:pStyle w:val="FootnoteText"/>
      </w:pPr>
      <w:r>
        <w:rPr>
          <w:rStyle w:val="FootnoteReference"/>
        </w:rPr>
        <w:footnoteRef/>
      </w:r>
      <w:r>
        <w:t xml:space="preserve"> [1956] 1 WLR 965</w:t>
      </w:r>
    </w:p>
  </w:footnote>
  <w:footnote w:id="90">
    <w:p w:rsidR="00001DC5" w:rsidRPr="00001DC5" w:rsidRDefault="0066047B" w:rsidP="00001DC5">
      <w:pPr>
        <w:pStyle w:val="Heading1"/>
        <w:shd w:val="clear" w:color="auto" w:fill="FFFFFF"/>
        <w:spacing w:before="250" w:beforeAutospacing="0" w:after="163" w:afterAutospacing="0" w:line="376" w:lineRule="atLeast"/>
        <w:ind w:right="125"/>
        <w:textAlignment w:val="baseline"/>
        <w:rPr>
          <w:rFonts w:ascii="Verdana" w:hAnsi="Verdana"/>
          <w:color w:val="333335"/>
          <w:sz w:val="15"/>
          <w:szCs w:val="15"/>
        </w:rPr>
      </w:pPr>
      <w:r w:rsidRPr="00001DC5">
        <w:rPr>
          <w:rStyle w:val="FootnoteReference"/>
          <w:rFonts w:asciiTheme="minorHAnsi" w:hAnsiTheme="minorHAnsi"/>
          <w:b w:val="0"/>
          <w:sz w:val="20"/>
          <w:szCs w:val="20"/>
        </w:rPr>
        <w:footnoteRef/>
      </w:r>
      <w:r w:rsidRPr="00001DC5">
        <w:rPr>
          <w:rFonts w:asciiTheme="minorHAnsi" w:hAnsiTheme="minorHAnsi"/>
          <w:sz w:val="20"/>
          <w:szCs w:val="20"/>
        </w:rPr>
        <w:t xml:space="preserve"> </w:t>
      </w:r>
      <w:r w:rsidR="00001DC5" w:rsidRPr="00001DC5">
        <w:rPr>
          <w:rFonts w:asciiTheme="minorHAnsi" w:hAnsiTheme="minorHAnsi"/>
          <w:b w:val="0"/>
          <w:sz w:val="20"/>
          <w:szCs w:val="20"/>
        </w:rPr>
        <w:t>A</w:t>
      </w:r>
      <w:r w:rsidRPr="00001DC5">
        <w:rPr>
          <w:rFonts w:asciiTheme="minorHAnsi" w:hAnsiTheme="minorHAnsi"/>
          <w:b w:val="0"/>
          <w:sz w:val="20"/>
          <w:szCs w:val="20"/>
        </w:rPr>
        <w:t>t page 969</w:t>
      </w:r>
      <w:r w:rsidR="00001DC5" w:rsidRPr="00001DC5">
        <w:rPr>
          <w:rFonts w:asciiTheme="minorHAnsi" w:hAnsiTheme="minorHAnsi"/>
          <w:b w:val="0"/>
          <w:sz w:val="20"/>
          <w:szCs w:val="20"/>
        </w:rPr>
        <w:t>; see also</w:t>
      </w:r>
      <w:r w:rsidR="00001DC5" w:rsidRPr="00001DC5">
        <w:rPr>
          <w:rFonts w:asciiTheme="minorHAnsi" w:hAnsiTheme="minorHAnsi"/>
          <w:sz w:val="20"/>
          <w:szCs w:val="20"/>
        </w:rPr>
        <w:t xml:space="preserve"> </w:t>
      </w:r>
      <w:r w:rsidR="00001DC5" w:rsidRPr="00001DC5">
        <w:rPr>
          <w:rFonts w:asciiTheme="minorHAnsi" w:hAnsiTheme="minorHAnsi"/>
          <w:color w:val="333335"/>
          <w:sz w:val="20"/>
          <w:szCs w:val="20"/>
        </w:rPr>
        <w:t>R v Harding</w:t>
      </w:r>
      <w:bookmarkStart w:id="28" w:name="ORIGHIT_1"/>
      <w:bookmarkStart w:id="29" w:name="HIT_1"/>
      <w:bookmarkEnd w:id="28"/>
      <w:bookmarkEnd w:id="29"/>
      <w:r w:rsidR="00001DC5" w:rsidRPr="00001DC5">
        <w:rPr>
          <w:rFonts w:asciiTheme="minorHAnsi" w:hAnsiTheme="minorHAnsi"/>
          <w:b w:val="0"/>
          <w:color w:val="333335"/>
          <w:sz w:val="20"/>
          <w:szCs w:val="20"/>
        </w:rPr>
        <w:t xml:space="preserve"> </w:t>
      </w:r>
      <w:r w:rsidR="00001DC5" w:rsidRPr="00001DC5">
        <w:rPr>
          <w:rFonts w:ascii="Verdana" w:hAnsi="Verdana"/>
          <w:b w:val="0"/>
          <w:color w:val="333335"/>
          <w:sz w:val="15"/>
          <w:szCs w:val="15"/>
        </w:rPr>
        <w:t>[</w:t>
      </w:r>
      <w:r w:rsidR="00001DC5" w:rsidRPr="00001DC5">
        <w:rPr>
          <w:rFonts w:ascii="Verdana" w:hAnsi="Verdana"/>
          <w:b w:val="0"/>
          <w:color w:val="000000"/>
          <w:sz w:val="15"/>
        </w:rPr>
        <w:t xml:space="preserve">2005] EWCA </w:t>
      </w:r>
      <w:proofErr w:type="spellStart"/>
      <w:r w:rsidR="00001DC5" w:rsidRPr="00001DC5">
        <w:rPr>
          <w:rFonts w:ascii="Verdana" w:hAnsi="Verdana"/>
          <w:b w:val="0"/>
          <w:color w:val="000000"/>
          <w:sz w:val="15"/>
        </w:rPr>
        <w:t>Crim</w:t>
      </w:r>
      <w:proofErr w:type="spellEnd"/>
      <w:r w:rsidR="00001DC5" w:rsidRPr="00001DC5">
        <w:rPr>
          <w:rFonts w:ascii="Verdana" w:hAnsi="Verdana"/>
          <w:b w:val="0"/>
          <w:color w:val="000000"/>
          <w:sz w:val="15"/>
        </w:rPr>
        <w:t xml:space="preserve"> 730</w:t>
      </w:r>
      <w:r w:rsidR="00001DC5">
        <w:rPr>
          <w:rFonts w:ascii="Verdana" w:hAnsi="Verdana"/>
          <w:b w:val="0"/>
          <w:color w:val="000000"/>
          <w:sz w:val="15"/>
        </w:rPr>
        <w:t xml:space="preserve">, in which </w:t>
      </w:r>
      <w:proofErr w:type="spellStart"/>
      <w:r w:rsidR="00001DC5" w:rsidRPr="00001DC5">
        <w:rPr>
          <w:rFonts w:ascii="Verdana" w:hAnsi="Verdana"/>
          <w:color w:val="000000"/>
          <w:sz w:val="15"/>
        </w:rPr>
        <w:t>Subramaniam</w:t>
      </w:r>
      <w:proofErr w:type="spellEnd"/>
      <w:r w:rsidR="00001DC5">
        <w:rPr>
          <w:rFonts w:ascii="Verdana" w:hAnsi="Verdana"/>
          <w:b w:val="0"/>
          <w:color w:val="000000"/>
          <w:sz w:val="15"/>
        </w:rPr>
        <w:t xml:space="preserve"> was applied.</w:t>
      </w:r>
    </w:p>
    <w:p w:rsidR="0066047B" w:rsidRDefault="0066047B">
      <w:pPr>
        <w:pStyle w:val="FootnoteText"/>
      </w:pPr>
    </w:p>
  </w:footnote>
  <w:footnote w:id="91">
    <w:p w:rsidR="00E54D1A" w:rsidRDefault="00E54D1A">
      <w:pPr>
        <w:pStyle w:val="FootnoteText"/>
      </w:pPr>
      <w:r>
        <w:rPr>
          <w:rStyle w:val="FootnoteReference"/>
        </w:rPr>
        <w:footnoteRef/>
      </w:r>
      <w:r>
        <w:t xml:space="preserve"> See generally, Keane &amp; </w:t>
      </w:r>
      <w:proofErr w:type="spellStart"/>
      <w:r>
        <w:t>McKeown</w:t>
      </w:r>
      <w:proofErr w:type="spellEnd"/>
      <w:r>
        <w:t>, op. cit., pages 280-283 and 230-231</w:t>
      </w:r>
    </w:p>
  </w:footnote>
  <w:footnote w:id="92">
    <w:p w:rsidR="00E54D1A" w:rsidRDefault="00E54D1A">
      <w:pPr>
        <w:pStyle w:val="FootnoteText"/>
      </w:pPr>
      <w:r>
        <w:rPr>
          <w:rStyle w:val="FootnoteReference"/>
        </w:rPr>
        <w:footnoteRef/>
      </w:r>
      <w:r>
        <w:t xml:space="preserve"> </w:t>
      </w:r>
      <w:r w:rsidR="003807B5">
        <w:t>[1969] 2 QB 436</w:t>
      </w:r>
    </w:p>
  </w:footnote>
  <w:footnote w:id="93">
    <w:p w:rsidR="003807B5" w:rsidRDefault="003807B5">
      <w:pPr>
        <w:pStyle w:val="FootnoteText"/>
      </w:pPr>
      <w:r>
        <w:rPr>
          <w:rStyle w:val="FootnoteReference"/>
        </w:rPr>
        <w:footnoteRef/>
      </w:r>
      <w:r>
        <w:t xml:space="preserve"> (1981) 72 Cr App R 39</w:t>
      </w:r>
    </w:p>
  </w:footnote>
  <w:footnote w:id="94">
    <w:p w:rsidR="00063B44" w:rsidRDefault="00063B44">
      <w:pPr>
        <w:pStyle w:val="FootnoteText"/>
      </w:pPr>
      <w:r>
        <w:rPr>
          <w:rStyle w:val="FootnoteReference"/>
        </w:rPr>
        <w:footnoteRef/>
      </w:r>
      <w:r>
        <w:t xml:space="preserve"> At page 42</w:t>
      </w:r>
    </w:p>
  </w:footnote>
  <w:footnote w:id="95">
    <w:p w:rsidR="00A03F37" w:rsidRDefault="00A03F37">
      <w:pPr>
        <w:pStyle w:val="FootnoteText"/>
      </w:pPr>
      <w:r>
        <w:rPr>
          <w:rStyle w:val="FootnoteReference"/>
        </w:rPr>
        <w:footnoteRef/>
      </w:r>
      <w:r>
        <w:t xml:space="preserve"> </w:t>
      </w:r>
      <w:r w:rsidRPr="00A03F37">
        <w:t>[2014] CCJ 12 (AJ)</w:t>
      </w:r>
      <w:r w:rsidRPr="00A03F37">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009"/>
    <w:multiLevelType w:val="multilevel"/>
    <w:tmpl w:val="D134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B3FA3"/>
    <w:multiLevelType w:val="hybridMultilevel"/>
    <w:tmpl w:val="2AF4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111CC"/>
    <w:multiLevelType w:val="multilevel"/>
    <w:tmpl w:val="185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B6F0C"/>
    <w:multiLevelType w:val="multilevel"/>
    <w:tmpl w:val="E124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3367B"/>
    <w:multiLevelType w:val="multilevel"/>
    <w:tmpl w:val="8DFC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94CD5"/>
    <w:multiLevelType w:val="multilevel"/>
    <w:tmpl w:val="D134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C0455"/>
    <w:multiLevelType w:val="multilevel"/>
    <w:tmpl w:val="117C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93DFF"/>
    <w:multiLevelType w:val="hybridMultilevel"/>
    <w:tmpl w:val="0652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315D6"/>
    <w:multiLevelType w:val="hybridMultilevel"/>
    <w:tmpl w:val="A3B24CEA"/>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C289F"/>
    <w:multiLevelType w:val="multilevel"/>
    <w:tmpl w:val="117C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DD462E"/>
    <w:multiLevelType w:val="multilevel"/>
    <w:tmpl w:val="185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DD1AAB"/>
    <w:multiLevelType w:val="multilevel"/>
    <w:tmpl w:val="93E6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816438"/>
    <w:multiLevelType w:val="multilevel"/>
    <w:tmpl w:val="185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091B45"/>
    <w:multiLevelType w:val="hybridMultilevel"/>
    <w:tmpl w:val="0020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E52C3"/>
    <w:multiLevelType w:val="multilevel"/>
    <w:tmpl w:val="D134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240688"/>
    <w:multiLevelType w:val="multilevel"/>
    <w:tmpl w:val="185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F83AE4"/>
    <w:multiLevelType w:val="multilevel"/>
    <w:tmpl w:val="F310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593A0D"/>
    <w:multiLevelType w:val="multilevel"/>
    <w:tmpl w:val="185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AD130B"/>
    <w:multiLevelType w:val="multilevel"/>
    <w:tmpl w:val="AEBA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3813DE"/>
    <w:multiLevelType w:val="multilevel"/>
    <w:tmpl w:val="AEBA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A850CB"/>
    <w:multiLevelType w:val="multilevel"/>
    <w:tmpl w:val="90FC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FB1679"/>
    <w:multiLevelType w:val="multilevel"/>
    <w:tmpl w:val="CB6C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C24D45"/>
    <w:multiLevelType w:val="multilevel"/>
    <w:tmpl w:val="185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C76780"/>
    <w:multiLevelType w:val="multilevel"/>
    <w:tmpl w:val="D134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3F516B"/>
    <w:multiLevelType w:val="multilevel"/>
    <w:tmpl w:val="948E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7"/>
  </w:num>
  <w:num w:numId="4">
    <w:abstractNumId w:val="19"/>
    <w:lvlOverride w:ilvl="0">
      <w:startOverride w:val="16"/>
    </w:lvlOverride>
  </w:num>
  <w:num w:numId="5">
    <w:abstractNumId w:val="18"/>
  </w:num>
  <w:num w:numId="6">
    <w:abstractNumId w:val="16"/>
    <w:lvlOverride w:ilvl="0">
      <w:startOverride w:val="11"/>
    </w:lvlOverride>
  </w:num>
  <w:num w:numId="7">
    <w:abstractNumId w:val="16"/>
    <w:lvlOverride w:ilvl="0">
      <w:startOverride w:val="12"/>
    </w:lvlOverride>
  </w:num>
  <w:num w:numId="8">
    <w:abstractNumId w:val="4"/>
    <w:lvlOverride w:ilvl="0">
      <w:startOverride w:val="18"/>
    </w:lvlOverride>
  </w:num>
  <w:num w:numId="9">
    <w:abstractNumId w:val="4"/>
    <w:lvlOverride w:ilvl="0">
      <w:startOverride w:val="19"/>
    </w:lvlOverride>
  </w:num>
  <w:num w:numId="10">
    <w:abstractNumId w:val="12"/>
    <w:lvlOverride w:ilvl="0">
      <w:startOverride w:val="18"/>
    </w:lvlOverride>
  </w:num>
  <w:num w:numId="11">
    <w:abstractNumId w:val="2"/>
  </w:num>
  <w:num w:numId="12">
    <w:abstractNumId w:val="10"/>
    <w:lvlOverride w:ilvl="0">
      <w:startOverride w:val="21"/>
    </w:lvlOverride>
  </w:num>
  <w:num w:numId="13">
    <w:abstractNumId w:val="22"/>
  </w:num>
  <w:num w:numId="14">
    <w:abstractNumId w:val="15"/>
    <w:lvlOverride w:ilvl="0">
      <w:startOverride w:val="33"/>
    </w:lvlOverride>
  </w:num>
  <w:num w:numId="15">
    <w:abstractNumId w:val="17"/>
  </w:num>
  <w:num w:numId="16">
    <w:abstractNumId w:val="3"/>
    <w:lvlOverride w:ilvl="0">
      <w:startOverride w:val="43"/>
    </w:lvlOverride>
  </w:num>
  <w:num w:numId="17">
    <w:abstractNumId w:val="21"/>
    <w:lvlOverride w:ilvl="0">
      <w:startOverride w:val="42"/>
    </w:lvlOverride>
  </w:num>
  <w:num w:numId="18">
    <w:abstractNumId w:val="20"/>
    <w:lvlOverride w:ilvl="0">
      <w:startOverride w:val="45"/>
    </w:lvlOverride>
  </w:num>
  <w:num w:numId="19">
    <w:abstractNumId w:val="11"/>
    <w:lvlOverride w:ilvl="0">
      <w:startOverride w:val="43"/>
    </w:lvlOverride>
  </w:num>
  <w:num w:numId="20">
    <w:abstractNumId w:val="11"/>
    <w:lvlOverride w:ilvl="0">
      <w:startOverride w:val="44"/>
    </w:lvlOverride>
  </w:num>
  <w:num w:numId="21">
    <w:abstractNumId w:val="24"/>
    <w:lvlOverride w:ilvl="0">
      <w:startOverride w:val="39"/>
    </w:lvlOverride>
  </w:num>
  <w:num w:numId="22">
    <w:abstractNumId w:val="24"/>
    <w:lvlOverride w:ilvl="0">
      <w:startOverride w:val="40"/>
    </w:lvlOverride>
  </w:num>
  <w:num w:numId="23">
    <w:abstractNumId w:val="24"/>
    <w:lvlOverride w:ilvl="0">
      <w:startOverride w:val="41"/>
    </w:lvlOverride>
  </w:num>
  <w:num w:numId="24">
    <w:abstractNumId w:val="24"/>
    <w:lvlOverride w:ilvl="0">
      <w:startOverride w:val="42"/>
    </w:lvlOverride>
  </w:num>
  <w:num w:numId="25">
    <w:abstractNumId w:val="9"/>
    <w:lvlOverride w:ilvl="0">
      <w:startOverride w:val="27"/>
    </w:lvlOverride>
  </w:num>
  <w:num w:numId="26">
    <w:abstractNumId w:val="6"/>
  </w:num>
  <w:num w:numId="27">
    <w:abstractNumId w:val="8"/>
  </w:num>
  <w:num w:numId="28">
    <w:abstractNumId w:val="23"/>
    <w:lvlOverride w:ilvl="0">
      <w:startOverride w:val="37"/>
    </w:lvlOverride>
  </w:num>
  <w:num w:numId="29">
    <w:abstractNumId w:val="0"/>
  </w:num>
  <w:num w:numId="30">
    <w:abstractNumId w:val="14"/>
    <w:lvlOverride w:ilvl="0">
      <w:startOverride w:val="35"/>
    </w:lvlOverride>
  </w:num>
  <w:num w:numId="31">
    <w:abstractNumId w:val="5"/>
    <w:lvlOverride w:ilvl="0">
      <w:startOverride w:val="15"/>
    </w:lvlOverride>
  </w:num>
  <w:num w:numId="32">
    <w:abstractNumId w:val="5"/>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3E"/>
    <w:rsid w:val="00001DC5"/>
    <w:rsid w:val="00014FFD"/>
    <w:rsid w:val="00024E89"/>
    <w:rsid w:val="000304B5"/>
    <w:rsid w:val="00063B44"/>
    <w:rsid w:val="00065D64"/>
    <w:rsid w:val="00075E96"/>
    <w:rsid w:val="00080469"/>
    <w:rsid w:val="000A41AA"/>
    <w:rsid w:val="000B636C"/>
    <w:rsid w:val="000E14D8"/>
    <w:rsid w:val="000E6F97"/>
    <w:rsid w:val="001323DE"/>
    <w:rsid w:val="00142F1E"/>
    <w:rsid w:val="001452EA"/>
    <w:rsid w:val="00164CA1"/>
    <w:rsid w:val="00171AEB"/>
    <w:rsid w:val="001B46EC"/>
    <w:rsid w:val="001B55EF"/>
    <w:rsid w:val="001B714B"/>
    <w:rsid w:val="001D0162"/>
    <w:rsid w:val="001D419E"/>
    <w:rsid w:val="001E4532"/>
    <w:rsid w:val="001F2DE4"/>
    <w:rsid w:val="002041B0"/>
    <w:rsid w:val="002068E9"/>
    <w:rsid w:val="0027275A"/>
    <w:rsid w:val="00274910"/>
    <w:rsid w:val="002767BE"/>
    <w:rsid w:val="0029140F"/>
    <w:rsid w:val="002A1348"/>
    <w:rsid w:val="002A2325"/>
    <w:rsid w:val="002A7D3E"/>
    <w:rsid w:val="002D73DF"/>
    <w:rsid w:val="002E17E9"/>
    <w:rsid w:val="002F48AB"/>
    <w:rsid w:val="002F5D1A"/>
    <w:rsid w:val="003018C4"/>
    <w:rsid w:val="00305855"/>
    <w:rsid w:val="00310994"/>
    <w:rsid w:val="00314ACF"/>
    <w:rsid w:val="00315A2C"/>
    <w:rsid w:val="00316180"/>
    <w:rsid w:val="0032624F"/>
    <w:rsid w:val="00337064"/>
    <w:rsid w:val="00347862"/>
    <w:rsid w:val="00364BD0"/>
    <w:rsid w:val="00370BB3"/>
    <w:rsid w:val="00371680"/>
    <w:rsid w:val="003756D2"/>
    <w:rsid w:val="003807B5"/>
    <w:rsid w:val="003924C9"/>
    <w:rsid w:val="003A1B7B"/>
    <w:rsid w:val="003D2699"/>
    <w:rsid w:val="003D7B36"/>
    <w:rsid w:val="003E0DCC"/>
    <w:rsid w:val="003E508A"/>
    <w:rsid w:val="003F37E0"/>
    <w:rsid w:val="00405B87"/>
    <w:rsid w:val="00421783"/>
    <w:rsid w:val="004224F1"/>
    <w:rsid w:val="00434940"/>
    <w:rsid w:val="004442F3"/>
    <w:rsid w:val="00475CAC"/>
    <w:rsid w:val="00480B2C"/>
    <w:rsid w:val="0049319A"/>
    <w:rsid w:val="00496BD4"/>
    <w:rsid w:val="004B4367"/>
    <w:rsid w:val="004B7BD0"/>
    <w:rsid w:val="004E1601"/>
    <w:rsid w:val="004F5192"/>
    <w:rsid w:val="005042E0"/>
    <w:rsid w:val="005050C2"/>
    <w:rsid w:val="00527B70"/>
    <w:rsid w:val="0053519F"/>
    <w:rsid w:val="005460E3"/>
    <w:rsid w:val="00556A6F"/>
    <w:rsid w:val="00574764"/>
    <w:rsid w:val="00584EC4"/>
    <w:rsid w:val="00595334"/>
    <w:rsid w:val="005A565C"/>
    <w:rsid w:val="005B4C3B"/>
    <w:rsid w:val="005D0CE8"/>
    <w:rsid w:val="005E05ED"/>
    <w:rsid w:val="005E237D"/>
    <w:rsid w:val="005F193A"/>
    <w:rsid w:val="00643597"/>
    <w:rsid w:val="006435B9"/>
    <w:rsid w:val="00644ABE"/>
    <w:rsid w:val="0066047B"/>
    <w:rsid w:val="006719F3"/>
    <w:rsid w:val="0067474E"/>
    <w:rsid w:val="00674CBE"/>
    <w:rsid w:val="00683A26"/>
    <w:rsid w:val="006928A9"/>
    <w:rsid w:val="00693F48"/>
    <w:rsid w:val="006B53E8"/>
    <w:rsid w:val="006C3350"/>
    <w:rsid w:val="006D1AAF"/>
    <w:rsid w:val="006D2BA4"/>
    <w:rsid w:val="006D508C"/>
    <w:rsid w:val="006D5F26"/>
    <w:rsid w:val="007018AF"/>
    <w:rsid w:val="007045C9"/>
    <w:rsid w:val="0071417A"/>
    <w:rsid w:val="00714A56"/>
    <w:rsid w:val="0074564F"/>
    <w:rsid w:val="00760FD5"/>
    <w:rsid w:val="00766C16"/>
    <w:rsid w:val="00780B4D"/>
    <w:rsid w:val="0079375D"/>
    <w:rsid w:val="0079384D"/>
    <w:rsid w:val="00796ED6"/>
    <w:rsid w:val="007B2070"/>
    <w:rsid w:val="007C1FD8"/>
    <w:rsid w:val="007C2DF6"/>
    <w:rsid w:val="007C727C"/>
    <w:rsid w:val="007D3D8B"/>
    <w:rsid w:val="007E42AB"/>
    <w:rsid w:val="0080231C"/>
    <w:rsid w:val="00820146"/>
    <w:rsid w:val="00825842"/>
    <w:rsid w:val="008321AE"/>
    <w:rsid w:val="00837925"/>
    <w:rsid w:val="008428A3"/>
    <w:rsid w:val="00856D30"/>
    <w:rsid w:val="00864876"/>
    <w:rsid w:val="0087061F"/>
    <w:rsid w:val="00871AFE"/>
    <w:rsid w:val="008873F5"/>
    <w:rsid w:val="00894459"/>
    <w:rsid w:val="008A18E2"/>
    <w:rsid w:val="008B2F3A"/>
    <w:rsid w:val="008C143B"/>
    <w:rsid w:val="008D1BE1"/>
    <w:rsid w:val="008D3115"/>
    <w:rsid w:val="008D68F7"/>
    <w:rsid w:val="008E225E"/>
    <w:rsid w:val="008F7FE2"/>
    <w:rsid w:val="00901873"/>
    <w:rsid w:val="00917EB1"/>
    <w:rsid w:val="009360EB"/>
    <w:rsid w:val="0094522F"/>
    <w:rsid w:val="00954A3F"/>
    <w:rsid w:val="009A698E"/>
    <w:rsid w:val="009B59D9"/>
    <w:rsid w:val="009B7D59"/>
    <w:rsid w:val="009E6A09"/>
    <w:rsid w:val="00A02947"/>
    <w:rsid w:val="00A03F37"/>
    <w:rsid w:val="00A132A3"/>
    <w:rsid w:val="00A2001C"/>
    <w:rsid w:val="00A41C00"/>
    <w:rsid w:val="00A4764B"/>
    <w:rsid w:val="00A87E80"/>
    <w:rsid w:val="00A924B8"/>
    <w:rsid w:val="00AB716A"/>
    <w:rsid w:val="00AC2BAC"/>
    <w:rsid w:val="00AC4AC8"/>
    <w:rsid w:val="00AD1764"/>
    <w:rsid w:val="00AE12F2"/>
    <w:rsid w:val="00AF1665"/>
    <w:rsid w:val="00AF78AA"/>
    <w:rsid w:val="00B16B28"/>
    <w:rsid w:val="00B270B4"/>
    <w:rsid w:val="00B410FE"/>
    <w:rsid w:val="00B47EC3"/>
    <w:rsid w:val="00B51F69"/>
    <w:rsid w:val="00B534C8"/>
    <w:rsid w:val="00B542C2"/>
    <w:rsid w:val="00B6658A"/>
    <w:rsid w:val="00B77CB6"/>
    <w:rsid w:val="00B93574"/>
    <w:rsid w:val="00B95A49"/>
    <w:rsid w:val="00B97E1D"/>
    <w:rsid w:val="00BC56CF"/>
    <w:rsid w:val="00BD2B13"/>
    <w:rsid w:val="00BE2E11"/>
    <w:rsid w:val="00BF6E03"/>
    <w:rsid w:val="00C13DB6"/>
    <w:rsid w:val="00C13EA1"/>
    <w:rsid w:val="00C167A6"/>
    <w:rsid w:val="00C27847"/>
    <w:rsid w:val="00C42EE1"/>
    <w:rsid w:val="00C47AB7"/>
    <w:rsid w:val="00C63F6F"/>
    <w:rsid w:val="00C64AE8"/>
    <w:rsid w:val="00CA55FD"/>
    <w:rsid w:val="00CB2D11"/>
    <w:rsid w:val="00CB573B"/>
    <w:rsid w:val="00CC09C9"/>
    <w:rsid w:val="00CC7552"/>
    <w:rsid w:val="00CD46C1"/>
    <w:rsid w:val="00CD6F8E"/>
    <w:rsid w:val="00CF6D39"/>
    <w:rsid w:val="00D36E8F"/>
    <w:rsid w:val="00D4509E"/>
    <w:rsid w:val="00D50CFE"/>
    <w:rsid w:val="00D536DC"/>
    <w:rsid w:val="00D56129"/>
    <w:rsid w:val="00D6085F"/>
    <w:rsid w:val="00D611B9"/>
    <w:rsid w:val="00D652DE"/>
    <w:rsid w:val="00DA1C89"/>
    <w:rsid w:val="00DA1D51"/>
    <w:rsid w:val="00DA3B8C"/>
    <w:rsid w:val="00DE340C"/>
    <w:rsid w:val="00DE507B"/>
    <w:rsid w:val="00E07184"/>
    <w:rsid w:val="00E11114"/>
    <w:rsid w:val="00E116C5"/>
    <w:rsid w:val="00E15A80"/>
    <w:rsid w:val="00E54D1A"/>
    <w:rsid w:val="00E57890"/>
    <w:rsid w:val="00E648DB"/>
    <w:rsid w:val="00E64D71"/>
    <w:rsid w:val="00E65761"/>
    <w:rsid w:val="00E83B22"/>
    <w:rsid w:val="00E84622"/>
    <w:rsid w:val="00E92889"/>
    <w:rsid w:val="00EA6FDD"/>
    <w:rsid w:val="00EC04B9"/>
    <w:rsid w:val="00ED1E5F"/>
    <w:rsid w:val="00ED1EEE"/>
    <w:rsid w:val="00ED5836"/>
    <w:rsid w:val="00EE2C14"/>
    <w:rsid w:val="00EE7C26"/>
    <w:rsid w:val="00EF0BB0"/>
    <w:rsid w:val="00EF0CDA"/>
    <w:rsid w:val="00EF4643"/>
    <w:rsid w:val="00EF618D"/>
    <w:rsid w:val="00F10917"/>
    <w:rsid w:val="00F438CC"/>
    <w:rsid w:val="00F5405D"/>
    <w:rsid w:val="00F6080F"/>
    <w:rsid w:val="00F73CB2"/>
    <w:rsid w:val="00F76A0B"/>
    <w:rsid w:val="00F81172"/>
    <w:rsid w:val="00FD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3E"/>
    <w:pPr>
      <w:ind w:left="720"/>
      <w:contextualSpacing/>
    </w:pPr>
  </w:style>
  <w:style w:type="paragraph" w:styleId="FootnoteText">
    <w:name w:val="footnote text"/>
    <w:basedOn w:val="Normal"/>
    <w:link w:val="FootnoteTextChar"/>
    <w:uiPriority w:val="99"/>
    <w:semiHidden/>
    <w:unhideWhenUsed/>
    <w:rsid w:val="002A7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D3E"/>
    <w:rPr>
      <w:sz w:val="20"/>
      <w:szCs w:val="20"/>
    </w:rPr>
  </w:style>
  <w:style w:type="character" w:styleId="FootnoteReference">
    <w:name w:val="footnote reference"/>
    <w:basedOn w:val="DefaultParagraphFont"/>
    <w:uiPriority w:val="99"/>
    <w:semiHidden/>
    <w:unhideWhenUsed/>
    <w:rsid w:val="002A7D3E"/>
    <w:rPr>
      <w:vertAlign w:val="superscript"/>
    </w:rPr>
  </w:style>
  <w:style w:type="character" w:customStyle="1" w:styleId="apple-converted-space">
    <w:name w:val="apple-converted-space"/>
    <w:basedOn w:val="DefaultParagraphFont"/>
    <w:rsid w:val="00CB573B"/>
  </w:style>
  <w:style w:type="paragraph" w:styleId="NormalWeb">
    <w:name w:val="Normal (Web)"/>
    <w:basedOn w:val="Normal"/>
    <w:uiPriority w:val="99"/>
    <w:unhideWhenUsed/>
    <w:rsid w:val="00305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890"/>
    <w:rPr>
      <w:color w:val="0000FF"/>
      <w:u w:val="single"/>
    </w:rPr>
  </w:style>
  <w:style w:type="paragraph" w:styleId="EndnoteText">
    <w:name w:val="endnote text"/>
    <w:basedOn w:val="Normal"/>
    <w:link w:val="EndnoteTextChar"/>
    <w:uiPriority w:val="99"/>
    <w:semiHidden/>
    <w:unhideWhenUsed/>
    <w:rsid w:val="004B7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BD0"/>
    <w:rPr>
      <w:sz w:val="20"/>
      <w:szCs w:val="20"/>
    </w:rPr>
  </w:style>
  <w:style w:type="character" w:styleId="EndnoteReference">
    <w:name w:val="endnote reference"/>
    <w:basedOn w:val="DefaultParagraphFont"/>
    <w:uiPriority w:val="99"/>
    <w:semiHidden/>
    <w:unhideWhenUsed/>
    <w:rsid w:val="004B7BD0"/>
    <w:rPr>
      <w:vertAlign w:val="superscript"/>
    </w:rPr>
  </w:style>
  <w:style w:type="character" w:styleId="FollowedHyperlink">
    <w:name w:val="FollowedHyperlink"/>
    <w:basedOn w:val="DefaultParagraphFont"/>
    <w:uiPriority w:val="99"/>
    <w:semiHidden/>
    <w:unhideWhenUsed/>
    <w:rsid w:val="00A41C00"/>
    <w:rPr>
      <w:color w:val="800080" w:themeColor="followedHyperlink"/>
      <w:u w:val="single"/>
    </w:rPr>
  </w:style>
  <w:style w:type="character" w:styleId="Emphasis">
    <w:name w:val="Emphasis"/>
    <w:basedOn w:val="DefaultParagraphFont"/>
    <w:uiPriority w:val="20"/>
    <w:qFormat/>
    <w:rsid w:val="00CD6F8E"/>
    <w:rPr>
      <w:i/>
      <w:iCs/>
    </w:rPr>
  </w:style>
  <w:style w:type="character" w:styleId="Strong">
    <w:name w:val="Strong"/>
    <w:basedOn w:val="DefaultParagraphFont"/>
    <w:uiPriority w:val="22"/>
    <w:qFormat/>
    <w:rsid w:val="00CD6F8E"/>
    <w:rPr>
      <w:b/>
      <w:bCs/>
    </w:rPr>
  </w:style>
  <w:style w:type="character" w:customStyle="1" w:styleId="Heading1Char">
    <w:name w:val="Heading 1 Char"/>
    <w:basedOn w:val="DefaultParagraphFont"/>
    <w:link w:val="Heading1"/>
    <w:uiPriority w:val="9"/>
    <w:rsid w:val="00001DC5"/>
    <w:rPr>
      <w:rFonts w:ascii="Times New Roman" w:eastAsia="Times New Roman" w:hAnsi="Times New Roman" w:cs="Times New Roman"/>
      <w:b/>
      <w:bCs/>
      <w:kern w:val="36"/>
      <w:sz w:val="48"/>
      <w:szCs w:val="48"/>
    </w:rPr>
  </w:style>
  <w:style w:type="paragraph" w:customStyle="1" w:styleId="cite">
    <w:name w:val="cite"/>
    <w:basedOn w:val="Normal"/>
    <w:rsid w:val="0000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001DC5"/>
  </w:style>
  <w:style w:type="paragraph" w:styleId="BalloonText">
    <w:name w:val="Balloon Text"/>
    <w:basedOn w:val="Normal"/>
    <w:link w:val="BalloonTextChar"/>
    <w:uiPriority w:val="99"/>
    <w:semiHidden/>
    <w:unhideWhenUsed/>
    <w:rsid w:val="0079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1D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3E"/>
    <w:pPr>
      <w:ind w:left="720"/>
      <w:contextualSpacing/>
    </w:pPr>
  </w:style>
  <w:style w:type="paragraph" w:styleId="FootnoteText">
    <w:name w:val="footnote text"/>
    <w:basedOn w:val="Normal"/>
    <w:link w:val="FootnoteTextChar"/>
    <w:uiPriority w:val="99"/>
    <w:semiHidden/>
    <w:unhideWhenUsed/>
    <w:rsid w:val="002A7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D3E"/>
    <w:rPr>
      <w:sz w:val="20"/>
      <w:szCs w:val="20"/>
    </w:rPr>
  </w:style>
  <w:style w:type="character" w:styleId="FootnoteReference">
    <w:name w:val="footnote reference"/>
    <w:basedOn w:val="DefaultParagraphFont"/>
    <w:uiPriority w:val="99"/>
    <w:semiHidden/>
    <w:unhideWhenUsed/>
    <w:rsid w:val="002A7D3E"/>
    <w:rPr>
      <w:vertAlign w:val="superscript"/>
    </w:rPr>
  </w:style>
  <w:style w:type="character" w:customStyle="1" w:styleId="apple-converted-space">
    <w:name w:val="apple-converted-space"/>
    <w:basedOn w:val="DefaultParagraphFont"/>
    <w:rsid w:val="00CB573B"/>
  </w:style>
  <w:style w:type="paragraph" w:styleId="NormalWeb">
    <w:name w:val="Normal (Web)"/>
    <w:basedOn w:val="Normal"/>
    <w:uiPriority w:val="99"/>
    <w:unhideWhenUsed/>
    <w:rsid w:val="00305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890"/>
    <w:rPr>
      <w:color w:val="0000FF"/>
      <w:u w:val="single"/>
    </w:rPr>
  </w:style>
  <w:style w:type="paragraph" w:styleId="EndnoteText">
    <w:name w:val="endnote text"/>
    <w:basedOn w:val="Normal"/>
    <w:link w:val="EndnoteTextChar"/>
    <w:uiPriority w:val="99"/>
    <w:semiHidden/>
    <w:unhideWhenUsed/>
    <w:rsid w:val="004B7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BD0"/>
    <w:rPr>
      <w:sz w:val="20"/>
      <w:szCs w:val="20"/>
    </w:rPr>
  </w:style>
  <w:style w:type="character" w:styleId="EndnoteReference">
    <w:name w:val="endnote reference"/>
    <w:basedOn w:val="DefaultParagraphFont"/>
    <w:uiPriority w:val="99"/>
    <w:semiHidden/>
    <w:unhideWhenUsed/>
    <w:rsid w:val="004B7BD0"/>
    <w:rPr>
      <w:vertAlign w:val="superscript"/>
    </w:rPr>
  </w:style>
  <w:style w:type="character" w:styleId="FollowedHyperlink">
    <w:name w:val="FollowedHyperlink"/>
    <w:basedOn w:val="DefaultParagraphFont"/>
    <w:uiPriority w:val="99"/>
    <w:semiHidden/>
    <w:unhideWhenUsed/>
    <w:rsid w:val="00A41C00"/>
    <w:rPr>
      <w:color w:val="800080" w:themeColor="followedHyperlink"/>
      <w:u w:val="single"/>
    </w:rPr>
  </w:style>
  <w:style w:type="character" w:styleId="Emphasis">
    <w:name w:val="Emphasis"/>
    <w:basedOn w:val="DefaultParagraphFont"/>
    <w:uiPriority w:val="20"/>
    <w:qFormat/>
    <w:rsid w:val="00CD6F8E"/>
    <w:rPr>
      <w:i/>
      <w:iCs/>
    </w:rPr>
  </w:style>
  <w:style w:type="character" w:styleId="Strong">
    <w:name w:val="Strong"/>
    <w:basedOn w:val="DefaultParagraphFont"/>
    <w:uiPriority w:val="22"/>
    <w:qFormat/>
    <w:rsid w:val="00CD6F8E"/>
    <w:rPr>
      <w:b/>
      <w:bCs/>
    </w:rPr>
  </w:style>
  <w:style w:type="character" w:customStyle="1" w:styleId="Heading1Char">
    <w:name w:val="Heading 1 Char"/>
    <w:basedOn w:val="DefaultParagraphFont"/>
    <w:link w:val="Heading1"/>
    <w:uiPriority w:val="9"/>
    <w:rsid w:val="00001DC5"/>
    <w:rPr>
      <w:rFonts w:ascii="Times New Roman" w:eastAsia="Times New Roman" w:hAnsi="Times New Roman" w:cs="Times New Roman"/>
      <w:b/>
      <w:bCs/>
      <w:kern w:val="36"/>
      <w:sz w:val="48"/>
      <w:szCs w:val="48"/>
    </w:rPr>
  </w:style>
  <w:style w:type="paragraph" w:customStyle="1" w:styleId="cite">
    <w:name w:val="cite"/>
    <w:basedOn w:val="Normal"/>
    <w:rsid w:val="0000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001DC5"/>
  </w:style>
  <w:style w:type="paragraph" w:styleId="BalloonText">
    <w:name w:val="Balloon Text"/>
    <w:basedOn w:val="Normal"/>
    <w:link w:val="BalloonTextChar"/>
    <w:uiPriority w:val="99"/>
    <w:semiHidden/>
    <w:unhideWhenUsed/>
    <w:rsid w:val="0079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914">
      <w:bodyDiv w:val="1"/>
      <w:marLeft w:val="0"/>
      <w:marRight w:val="0"/>
      <w:marTop w:val="0"/>
      <w:marBottom w:val="0"/>
      <w:divBdr>
        <w:top w:val="none" w:sz="0" w:space="0" w:color="auto"/>
        <w:left w:val="none" w:sz="0" w:space="0" w:color="auto"/>
        <w:bottom w:val="none" w:sz="0" w:space="0" w:color="auto"/>
        <w:right w:val="none" w:sz="0" w:space="0" w:color="auto"/>
      </w:divBdr>
    </w:div>
    <w:div w:id="240872375">
      <w:bodyDiv w:val="1"/>
      <w:marLeft w:val="0"/>
      <w:marRight w:val="0"/>
      <w:marTop w:val="0"/>
      <w:marBottom w:val="0"/>
      <w:divBdr>
        <w:top w:val="none" w:sz="0" w:space="0" w:color="auto"/>
        <w:left w:val="none" w:sz="0" w:space="0" w:color="auto"/>
        <w:bottom w:val="none" w:sz="0" w:space="0" w:color="auto"/>
        <w:right w:val="none" w:sz="0" w:space="0" w:color="auto"/>
      </w:divBdr>
      <w:divsChild>
        <w:div w:id="1877498748">
          <w:marLeft w:val="0"/>
          <w:marRight w:val="0"/>
          <w:marTop w:val="0"/>
          <w:marBottom w:val="0"/>
          <w:divBdr>
            <w:top w:val="none" w:sz="0" w:space="0" w:color="auto"/>
            <w:left w:val="none" w:sz="0" w:space="0" w:color="auto"/>
            <w:bottom w:val="none" w:sz="0" w:space="0" w:color="auto"/>
            <w:right w:val="none" w:sz="0" w:space="0" w:color="auto"/>
          </w:divBdr>
        </w:div>
        <w:div w:id="1254823894">
          <w:marLeft w:val="0"/>
          <w:marRight w:val="0"/>
          <w:marTop w:val="0"/>
          <w:marBottom w:val="0"/>
          <w:divBdr>
            <w:top w:val="none" w:sz="0" w:space="0" w:color="auto"/>
            <w:left w:val="none" w:sz="0" w:space="0" w:color="auto"/>
            <w:bottom w:val="none" w:sz="0" w:space="0" w:color="auto"/>
            <w:right w:val="none" w:sz="0" w:space="0" w:color="auto"/>
          </w:divBdr>
        </w:div>
        <w:div w:id="44909349">
          <w:marLeft w:val="0"/>
          <w:marRight w:val="0"/>
          <w:marTop w:val="0"/>
          <w:marBottom w:val="0"/>
          <w:divBdr>
            <w:top w:val="none" w:sz="0" w:space="0" w:color="auto"/>
            <w:left w:val="none" w:sz="0" w:space="0" w:color="auto"/>
            <w:bottom w:val="none" w:sz="0" w:space="0" w:color="auto"/>
            <w:right w:val="none" w:sz="0" w:space="0" w:color="auto"/>
          </w:divBdr>
        </w:div>
        <w:div w:id="189999067">
          <w:marLeft w:val="0"/>
          <w:marRight w:val="0"/>
          <w:marTop w:val="0"/>
          <w:marBottom w:val="0"/>
          <w:divBdr>
            <w:top w:val="none" w:sz="0" w:space="0" w:color="auto"/>
            <w:left w:val="none" w:sz="0" w:space="0" w:color="auto"/>
            <w:bottom w:val="none" w:sz="0" w:space="0" w:color="auto"/>
            <w:right w:val="none" w:sz="0" w:space="0" w:color="auto"/>
          </w:divBdr>
        </w:div>
        <w:div w:id="472798971">
          <w:marLeft w:val="0"/>
          <w:marRight w:val="0"/>
          <w:marTop w:val="0"/>
          <w:marBottom w:val="0"/>
          <w:divBdr>
            <w:top w:val="none" w:sz="0" w:space="0" w:color="auto"/>
            <w:left w:val="none" w:sz="0" w:space="0" w:color="auto"/>
            <w:bottom w:val="none" w:sz="0" w:space="0" w:color="auto"/>
            <w:right w:val="none" w:sz="0" w:space="0" w:color="auto"/>
          </w:divBdr>
        </w:div>
      </w:divsChild>
    </w:div>
    <w:div w:id="397827461">
      <w:bodyDiv w:val="1"/>
      <w:marLeft w:val="0"/>
      <w:marRight w:val="0"/>
      <w:marTop w:val="0"/>
      <w:marBottom w:val="0"/>
      <w:divBdr>
        <w:top w:val="none" w:sz="0" w:space="0" w:color="auto"/>
        <w:left w:val="none" w:sz="0" w:space="0" w:color="auto"/>
        <w:bottom w:val="none" w:sz="0" w:space="0" w:color="auto"/>
        <w:right w:val="none" w:sz="0" w:space="0" w:color="auto"/>
      </w:divBdr>
    </w:div>
    <w:div w:id="524825413">
      <w:bodyDiv w:val="1"/>
      <w:marLeft w:val="0"/>
      <w:marRight w:val="0"/>
      <w:marTop w:val="0"/>
      <w:marBottom w:val="0"/>
      <w:divBdr>
        <w:top w:val="none" w:sz="0" w:space="0" w:color="auto"/>
        <w:left w:val="none" w:sz="0" w:space="0" w:color="auto"/>
        <w:bottom w:val="none" w:sz="0" w:space="0" w:color="auto"/>
        <w:right w:val="none" w:sz="0" w:space="0" w:color="auto"/>
      </w:divBdr>
    </w:div>
    <w:div w:id="566233310">
      <w:bodyDiv w:val="1"/>
      <w:marLeft w:val="0"/>
      <w:marRight w:val="0"/>
      <w:marTop w:val="0"/>
      <w:marBottom w:val="0"/>
      <w:divBdr>
        <w:top w:val="none" w:sz="0" w:space="0" w:color="auto"/>
        <w:left w:val="none" w:sz="0" w:space="0" w:color="auto"/>
        <w:bottom w:val="none" w:sz="0" w:space="0" w:color="auto"/>
        <w:right w:val="none" w:sz="0" w:space="0" w:color="auto"/>
      </w:divBdr>
      <w:divsChild>
        <w:div w:id="207168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2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9580581">
      <w:bodyDiv w:val="1"/>
      <w:marLeft w:val="0"/>
      <w:marRight w:val="0"/>
      <w:marTop w:val="0"/>
      <w:marBottom w:val="0"/>
      <w:divBdr>
        <w:top w:val="none" w:sz="0" w:space="0" w:color="auto"/>
        <w:left w:val="none" w:sz="0" w:space="0" w:color="auto"/>
        <w:bottom w:val="none" w:sz="0" w:space="0" w:color="auto"/>
        <w:right w:val="none" w:sz="0" w:space="0" w:color="auto"/>
      </w:divBdr>
      <w:divsChild>
        <w:div w:id="152837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330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4768531">
      <w:bodyDiv w:val="1"/>
      <w:marLeft w:val="0"/>
      <w:marRight w:val="0"/>
      <w:marTop w:val="0"/>
      <w:marBottom w:val="0"/>
      <w:divBdr>
        <w:top w:val="none" w:sz="0" w:space="0" w:color="auto"/>
        <w:left w:val="none" w:sz="0" w:space="0" w:color="auto"/>
        <w:bottom w:val="none" w:sz="0" w:space="0" w:color="auto"/>
        <w:right w:val="none" w:sz="0" w:space="0" w:color="auto"/>
      </w:divBdr>
      <w:divsChild>
        <w:div w:id="93679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80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9804785">
      <w:bodyDiv w:val="1"/>
      <w:marLeft w:val="0"/>
      <w:marRight w:val="0"/>
      <w:marTop w:val="0"/>
      <w:marBottom w:val="0"/>
      <w:divBdr>
        <w:top w:val="none" w:sz="0" w:space="0" w:color="auto"/>
        <w:left w:val="none" w:sz="0" w:space="0" w:color="auto"/>
        <w:bottom w:val="none" w:sz="0" w:space="0" w:color="auto"/>
        <w:right w:val="none" w:sz="0" w:space="0" w:color="auto"/>
      </w:divBdr>
      <w:divsChild>
        <w:div w:id="21246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425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2175445">
      <w:bodyDiv w:val="1"/>
      <w:marLeft w:val="0"/>
      <w:marRight w:val="0"/>
      <w:marTop w:val="0"/>
      <w:marBottom w:val="0"/>
      <w:divBdr>
        <w:top w:val="none" w:sz="0" w:space="0" w:color="auto"/>
        <w:left w:val="none" w:sz="0" w:space="0" w:color="auto"/>
        <w:bottom w:val="none" w:sz="0" w:space="0" w:color="auto"/>
        <w:right w:val="none" w:sz="0" w:space="0" w:color="auto"/>
      </w:divBdr>
      <w:divsChild>
        <w:div w:id="4056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77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079071">
      <w:bodyDiv w:val="1"/>
      <w:marLeft w:val="0"/>
      <w:marRight w:val="0"/>
      <w:marTop w:val="0"/>
      <w:marBottom w:val="0"/>
      <w:divBdr>
        <w:top w:val="none" w:sz="0" w:space="0" w:color="auto"/>
        <w:left w:val="none" w:sz="0" w:space="0" w:color="auto"/>
        <w:bottom w:val="none" w:sz="0" w:space="0" w:color="auto"/>
        <w:right w:val="none" w:sz="0" w:space="0" w:color="auto"/>
      </w:divBdr>
    </w:div>
    <w:div w:id="1232277319">
      <w:bodyDiv w:val="1"/>
      <w:marLeft w:val="0"/>
      <w:marRight w:val="0"/>
      <w:marTop w:val="0"/>
      <w:marBottom w:val="0"/>
      <w:divBdr>
        <w:top w:val="none" w:sz="0" w:space="0" w:color="auto"/>
        <w:left w:val="none" w:sz="0" w:space="0" w:color="auto"/>
        <w:bottom w:val="none" w:sz="0" w:space="0" w:color="auto"/>
        <w:right w:val="none" w:sz="0" w:space="0" w:color="auto"/>
      </w:divBdr>
    </w:div>
    <w:div w:id="1262106179">
      <w:bodyDiv w:val="1"/>
      <w:marLeft w:val="0"/>
      <w:marRight w:val="0"/>
      <w:marTop w:val="0"/>
      <w:marBottom w:val="0"/>
      <w:divBdr>
        <w:top w:val="none" w:sz="0" w:space="0" w:color="auto"/>
        <w:left w:val="none" w:sz="0" w:space="0" w:color="auto"/>
        <w:bottom w:val="none" w:sz="0" w:space="0" w:color="auto"/>
        <w:right w:val="none" w:sz="0" w:space="0" w:color="auto"/>
      </w:divBdr>
      <w:divsChild>
        <w:div w:id="176575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93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96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13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33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66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26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6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5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10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0062273">
      <w:bodyDiv w:val="1"/>
      <w:marLeft w:val="0"/>
      <w:marRight w:val="0"/>
      <w:marTop w:val="0"/>
      <w:marBottom w:val="0"/>
      <w:divBdr>
        <w:top w:val="none" w:sz="0" w:space="0" w:color="auto"/>
        <w:left w:val="none" w:sz="0" w:space="0" w:color="auto"/>
        <w:bottom w:val="none" w:sz="0" w:space="0" w:color="auto"/>
        <w:right w:val="none" w:sz="0" w:space="0" w:color="auto"/>
      </w:divBdr>
      <w:divsChild>
        <w:div w:id="200593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56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9322650">
      <w:bodyDiv w:val="1"/>
      <w:marLeft w:val="0"/>
      <w:marRight w:val="0"/>
      <w:marTop w:val="0"/>
      <w:marBottom w:val="0"/>
      <w:divBdr>
        <w:top w:val="none" w:sz="0" w:space="0" w:color="auto"/>
        <w:left w:val="none" w:sz="0" w:space="0" w:color="auto"/>
        <w:bottom w:val="none" w:sz="0" w:space="0" w:color="auto"/>
        <w:right w:val="none" w:sz="0" w:space="0" w:color="auto"/>
      </w:divBdr>
      <w:divsChild>
        <w:div w:id="9274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06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10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322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31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95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0168662">
      <w:bodyDiv w:val="1"/>
      <w:marLeft w:val="0"/>
      <w:marRight w:val="0"/>
      <w:marTop w:val="0"/>
      <w:marBottom w:val="0"/>
      <w:divBdr>
        <w:top w:val="none" w:sz="0" w:space="0" w:color="auto"/>
        <w:left w:val="none" w:sz="0" w:space="0" w:color="auto"/>
        <w:bottom w:val="none" w:sz="0" w:space="0" w:color="auto"/>
        <w:right w:val="none" w:sz="0" w:space="0" w:color="auto"/>
      </w:divBdr>
      <w:divsChild>
        <w:div w:id="278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4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503717">
      <w:bodyDiv w:val="1"/>
      <w:marLeft w:val="0"/>
      <w:marRight w:val="0"/>
      <w:marTop w:val="0"/>
      <w:marBottom w:val="0"/>
      <w:divBdr>
        <w:top w:val="none" w:sz="0" w:space="0" w:color="auto"/>
        <w:left w:val="none" w:sz="0" w:space="0" w:color="auto"/>
        <w:bottom w:val="none" w:sz="0" w:space="0" w:color="auto"/>
        <w:right w:val="none" w:sz="0" w:space="0" w:color="auto"/>
      </w:divBdr>
    </w:div>
    <w:div w:id="1542353216">
      <w:bodyDiv w:val="1"/>
      <w:marLeft w:val="0"/>
      <w:marRight w:val="0"/>
      <w:marTop w:val="0"/>
      <w:marBottom w:val="0"/>
      <w:divBdr>
        <w:top w:val="none" w:sz="0" w:space="0" w:color="auto"/>
        <w:left w:val="none" w:sz="0" w:space="0" w:color="auto"/>
        <w:bottom w:val="none" w:sz="0" w:space="0" w:color="auto"/>
        <w:right w:val="none" w:sz="0" w:space="0" w:color="auto"/>
      </w:divBdr>
    </w:div>
    <w:div w:id="1649281931">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3804786">
      <w:bodyDiv w:val="1"/>
      <w:marLeft w:val="0"/>
      <w:marRight w:val="0"/>
      <w:marTop w:val="0"/>
      <w:marBottom w:val="0"/>
      <w:divBdr>
        <w:top w:val="none" w:sz="0" w:space="0" w:color="auto"/>
        <w:left w:val="none" w:sz="0" w:space="0" w:color="auto"/>
        <w:bottom w:val="none" w:sz="0" w:space="0" w:color="auto"/>
        <w:right w:val="none" w:sz="0" w:space="0" w:color="auto"/>
      </w:divBdr>
    </w:div>
    <w:div w:id="1857960545">
      <w:bodyDiv w:val="1"/>
      <w:marLeft w:val="0"/>
      <w:marRight w:val="0"/>
      <w:marTop w:val="0"/>
      <w:marBottom w:val="0"/>
      <w:divBdr>
        <w:top w:val="none" w:sz="0" w:space="0" w:color="auto"/>
        <w:left w:val="none" w:sz="0" w:space="0" w:color="auto"/>
        <w:bottom w:val="none" w:sz="0" w:space="0" w:color="auto"/>
        <w:right w:val="none" w:sz="0" w:space="0" w:color="auto"/>
      </w:divBdr>
      <w:divsChild>
        <w:div w:id="153584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70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3705863">
      <w:bodyDiv w:val="1"/>
      <w:marLeft w:val="0"/>
      <w:marRight w:val="0"/>
      <w:marTop w:val="0"/>
      <w:marBottom w:val="0"/>
      <w:divBdr>
        <w:top w:val="none" w:sz="0" w:space="0" w:color="auto"/>
        <w:left w:val="none" w:sz="0" w:space="0" w:color="auto"/>
        <w:bottom w:val="none" w:sz="0" w:space="0" w:color="auto"/>
        <w:right w:val="none" w:sz="0" w:space="0" w:color="auto"/>
      </w:divBdr>
    </w:div>
    <w:div w:id="1945333646">
      <w:bodyDiv w:val="1"/>
      <w:marLeft w:val="0"/>
      <w:marRight w:val="0"/>
      <w:marTop w:val="0"/>
      <w:marBottom w:val="0"/>
      <w:divBdr>
        <w:top w:val="none" w:sz="0" w:space="0" w:color="auto"/>
        <w:left w:val="none" w:sz="0" w:space="0" w:color="auto"/>
        <w:bottom w:val="none" w:sz="0" w:space="0" w:color="auto"/>
        <w:right w:val="none" w:sz="0" w:space="0" w:color="auto"/>
      </w:divBdr>
    </w:div>
    <w:div w:id="1967813090">
      <w:bodyDiv w:val="1"/>
      <w:marLeft w:val="0"/>
      <w:marRight w:val="0"/>
      <w:marTop w:val="0"/>
      <w:marBottom w:val="0"/>
      <w:divBdr>
        <w:top w:val="none" w:sz="0" w:space="0" w:color="auto"/>
        <w:left w:val="none" w:sz="0" w:space="0" w:color="auto"/>
        <w:bottom w:val="none" w:sz="0" w:space="0" w:color="auto"/>
        <w:right w:val="none" w:sz="0" w:space="0" w:color="auto"/>
      </w:divBdr>
    </w:div>
    <w:div w:id="1979144006">
      <w:bodyDiv w:val="1"/>
      <w:marLeft w:val="0"/>
      <w:marRight w:val="0"/>
      <w:marTop w:val="0"/>
      <w:marBottom w:val="0"/>
      <w:divBdr>
        <w:top w:val="none" w:sz="0" w:space="0" w:color="auto"/>
        <w:left w:val="none" w:sz="0" w:space="0" w:color="auto"/>
        <w:bottom w:val="none" w:sz="0" w:space="0" w:color="auto"/>
        <w:right w:val="none" w:sz="0" w:space="0" w:color="auto"/>
      </w:divBdr>
      <w:divsChild>
        <w:div w:id="99392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38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lii.org/cgi-bin/redirect.cgi?path=/uk/cases/UKPC/1998/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ilii.org/cgi-bin/redirect.cgi?path=/uk/cases/UKPC/1998/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lii.org/uk/cases/UKPC/2002/5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ilii.org/cgi-bin/redirect.cgi?path=/uk/cases/UKPC/1998/16.html" TargetMode="External"/><Relationship Id="rId4" Type="http://schemas.microsoft.com/office/2007/relationships/stylesWithEffects" Target="stylesWithEffects.xml"/><Relationship Id="rId9" Type="http://schemas.openxmlformats.org/officeDocument/2006/relationships/hyperlink" Target="http://www.bailii.org/cgi-bin/redirect.cgi?path=/uk/cases/UKPC/1998/6.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uk/cases/UKPC/2005/2.html" TargetMode="External"/><Relationship Id="rId2" Type="http://schemas.openxmlformats.org/officeDocument/2006/relationships/hyperlink" Target="http://www.bailii.org/cgi-bin/redirect.cgi?path=/uk/cases/UKPC/2005/D1.html" TargetMode="External"/><Relationship Id="rId1" Type="http://schemas.openxmlformats.org/officeDocument/2006/relationships/hyperlink" Target="http://www.bailii.org/uk/cases/UKPC/2005/D1.html" TargetMode="External"/><Relationship Id="rId6" Type="http://schemas.openxmlformats.org/officeDocument/2006/relationships/hyperlink" Target="http://www.bailii.org/uk/cases/UKPC/1998/51.html" TargetMode="External"/><Relationship Id="rId5" Type="http://schemas.openxmlformats.org/officeDocument/2006/relationships/hyperlink" Target="http://www.bailii.org/uk/cases/UKPC/2005/35.html" TargetMode="External"/><Relationship Id="rId4" Type="http://schemas.openxmlformats.org/officeDocument/2006/relationships/hyperlink" Target="http://www.bailii.org/uk/cases/UKPC/2005/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1BA31-3EEC-4262-9527-7693804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10583</Words>
  <Characters>60325</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dennis.morrison</dc:creator>
  <cp:lastModifiedBy>Alana Simmons</cp:lastModifiedBy>
  <cp:revision>2</cp:revision>
  <cp:lastPrinted>2014-09-10T14:29:00Z</cp:lastPrinted>
  <dcterms:created xsi:type="dcterms:W3CDTF">2014-09-10T14:41:00Z</dcterms:created>
  <dcterms:modified xsi:type="dcterms:W3CDTF">2014-09-10T14:41:00Z</dcterms:modified>
</cp:coreProperties>
</file>